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1A2A" w14:textId="77777777" w:rsidR="0096110F" w:rsidRDefault="0096110F">
      <w:pPr>
        <w:spacing w:line="480" w:lineRule="auto"/>
      </w:pPr>
    </w:p>
    <w:p w14:paraId="7529A4CE" w14:textId="77777777" w:rsidR="0096110F" w:rsidRDefault="0096110F">
      <w:pPr>
        <w:spacing w:line="480" w:lineRule="auto"/>
      </w:pPr>
    </w:p>
    <w:p w14:paraId="59A47416" w14:textId="77777777" w:rsidR="0096110F" w:rsidRDefault="00000000">
      <w:pPr>
        <w:spacing w:line="480" w:lineRule="auto"/>
        <w:jc w:val="center"/>
      </w:pPr>
      <w:r>
        <w:rPr>
          <w:b/>
          <w:bCs/>
          <w:sz w:val="32"/>
          <w:szCs w:val="32"/>
        </w:rPr>
        <w:t>CONSTRUCTED GUILT:</w:t>
      </w:r>
    </w:p>
    <w:p w14:paraId="15065692" w14:textId="77777777" w:rsidR="0096110F" w:rsidRDefault="00000000">
      <w:pPr>
        <w:spacing w:line="480" w:lineRule="auto"/>
        <w:jc w:val="center"/>
      </w:pPr>
      <w:r>
        <w:rPr>
          <w:b/>
          <w:bCs/>
          <w:sz w:val="28"/>
          <w:szCs w:val="28"/>
        </w:rPr>
        <w:t>Language, Power, and the Architecture of Criminal Justice</w:t>
      </w:r>
    </w:p>
    <w:p w14:paraId="2F33EC11" w14:textId="77777777" w:rsidR="0096110F" w:rsidRDefault="0096110F">
      <w:pPr>
        <w:spacing w:line="480" w:lineRule="auto"/>
      </w:pPr>
    </w:p>
    <w:p w14:paraId="75F41786" w14:textId="77777777" w:rsidR="0096110F" w:rsidRDefault="00000000">
      <w:pPr>
        <w:spacing w:line="480" w:lineRule="auto"/>
        <w:jc w:val="center"/>
      </w:pPr>
      <w:r>
        <w:rPr>
          <w:b/>
          <w:bCs/>
          <w:color w:val="2C3E50"/>
        </w:rPr>
        <w:t>STATISTICAL APPENDIX</w:t>
      </w:r>
    </w:p>
    <w:p w14:paraId="3037573B" w14:textId="77777777" w:rsidR="0096110F" w:rsidRDefault="0096110F">
      <w:pPr>
        <w:spacing w:line="480" w:lineRule="auto"/>
      </w:pPr>
    </w:p>
    <w:p w14:paraId="561A4D52" w14:textId="77777777" w:rsidR="0096110F" w:rsidRDefault="00000000">
      <w:pPr>
        <w:spacing w:line="480" w:lineRule="auto"/>
        <w:jc w:val="center"/>
      </w:pPr>
      <w:r>
        <w:rPr>
          <w:i/>
          <w:iCs/>
        </w:rPr>
        <w:t>A Meta-Analytic Framework Supporting the Thesis of Linguistically Constructed Guilt</w:t>
      </w:r>
    </w:p>
    <w:p w14:paraId="4A15294A" w14:textId="77777777" w:rsidR="0096110F" w:rsidRDefault="0096110F">
      <w:pPr>
        <w:spacing w:line="480" w:lineRule="auto"/>
      </w:pPr>
    </w:p>
    <w:p w14:paraId="28DDE84E" w14:textId="77777777" w:rsidR="0096110F" w:rsidRDefault="0096110F">
      <w:pPr>
        <w:spacing w:line="480" w:lineRule="auto"/>
      </w:pPr>
    </w:p>
    <w:p w14:paraId="6425CBCE" w14:textId="77777777" w:rsidR="0096110F" w:rsidRDefault="00000000">
      <w:pPr>
        <w:spacing w:line="480" w:lineRule="auto"/>
        <w:jc w:val="center"/>
      </w:pPr>
      <w:r>
        <w:rPr>
          <w:color w:val="2C3E50"/>
        </w:rPr>
        <w:t>─────────────────────────────────────────</w:t>
      </w:r>
    </w:p>
    <w:p w14:paraId="19088504" w14:textId="77777777" w:rsidR="0096110F" w:rsidRDefault="0096110F">
      <w:pPr>
        <w:spacing w:line="480" w:lineRule="auto"/>
      </w:pPr>
    </w:p>
    <w:p w14:paraId="76E3A27F" w14:textId="77777777" w:rsidR="0096110F" w:rsidRDefault="00000000">
      <w:pPr>
        <w:spacing w:line="480" w:lineRule="auto"/>
        <w:jc w:val="center"/>
      </w:pPr>
      <w:r>
        <w:rPr>
          <w:b/>
          <w:bCs/>
        </w:rPr>
        <w:t>Note on Methodology</w:t>
      </w:r>
    </w:p>
    <w:p w14:paraId="15DDDD3F" w14:textId="77777777" w:rsidR="0096110F" w:rsidRDefault="0096110F">
      <w:pPr>
        <w:spacing w:line="480" w:lineRule="auto"/>
      </w:pPr>
    </w:p>
    <w:p w14:paraId="7B7D7E25" w14:textId="77777777" w:rsidR="0096110F" w:rsidRDefault="00000000">
      <w:pPr>
        <w:spacing w:after="200" w:line="480" w:lineRule="auto"/>
        <w:jc w:val="both"/>
      </w:pPr>
      <w:r>
        <w:t>This appendix presents a convergent meta-analytic synthesis of published, peer-reviewed empirical literature bearing on the central thesis of the accompanying work: that guilt, as produced by the criminal justice system, is a performative linguistic construction rather than an objective determination of fact. The analysis does not generate new primary data. It synthesises existing findings across four independent methodological pillars — deception detection research, memory distortion research, false confession data, and interrogative suggestibility research — to demonstrate that their convergent implications are not merely consistent with the construction thesis but statistically require it.</w:t>
      </w:r>
    </w:p>
    <w:p w14:paraId="185D3D7E" w14:textId="77777777" w:rsidR="0096110F" w:rsidRDefault="00000000">
      <w:pPr>
        <w:spacing w:after="200" w:line="480" w:lineRule="auto"/>
        <w:jc w:val="both"/>
      </w:pPr>
      <w:r>
        <w:lastRenderedPageBreak/>
        <w:t>All cited studies are published in peer-reviewed outlets. Confidence intervals, effect sizes, and percentage figures are drawn from original publications or authoritative meta-analyses. Where multiple studies address the same phenomenon, weighted estimates are provided. The analysis is contextualised primarily within US and UK jurisdictions, whose criminal procedure architecture is substantially equivalent to that operating in Australian common law jurisdictions. Where Australian-specific data exists, it is noted.</w:t>
      </w:r>
    </w:p>
    <w:p w14:paraId="4C0CBB67" w14:textId="77777777" w:rsidR="0096110F" w:rsidRDefault="0096110F">
      <w:pPr>
        <w:spacing w:line="480" w:lineRule="auto"/>
      </w:pPr>
    </w:p>
    <w:p w14:paraId="1F7E33D7" w14:textId="77777777" w:rsidR="0096110F" w:rsidRDefault="0096110F">
      <w:pPr>
        <w:spacing w:line="480" w:lineRule="auto"/>
      </w:pPr>
    </w:p>
    <w:p w14:paraId="47977547" w14:textId="77777777" w:rsidR="0096110F" w:rsidRDefault="0096110F">
      <w:pPr>
        <w:pageBreakBefore/>
      </w:pPr>
    </w:p>
    <w:p w14:paraId="187B0B26" w14:textId="77777777" w:rsidR="0096110F" w:rsidRDefault="00000000">
      <w:pPr>
        <w:pStyle w:val="Heading1"/>
      </w:pPr>
      <w:r>
        <w:t>Section 1: The Deception Detection Baseline</w:t>
      </w:r>
    </w:p>
    <w:p w14:paraId="436768ED" w14:textId="77777777" w:rsidR="0096110F" w:rsidRDefault="00000000">
      <w:pPr>
        <w:pStyle w:val="Heading2"/>
      </w:pPr>
      <w:r>
        <w:t>1.1 Overview</w:t>
      </w:r>
    </w:p>
    <w:p w14:paraId="713127CF" w14:textId="77777777" w:rsidR="0096110F" w:rsidRDefault="00000000">
      <w:pPr>
        <w:spacing w:line="480" w:lineRule="auto"/>
        <w:ind w:firstLine="720"/>
        <w:jc w:val="both"/>
      </w:pPr>
      <w:r>
        <w:t>The foundational claim of police interrogation methodology is that trained investigators can identify deception through behavioural observation. If this claim is true, then investigator assessments of guilt carry epistemic weight — they are, at least partially, observations of reality. If the claim is false, investigator assessments are no more reliable than chance, and the guilty narrative they produce is constructed rather than observed.</w:t>
      </w:r>
    </w:p>
    <w:p w14:paraId="05D116A1" w14:textId="77777777" w:rsidR="0096110F" w:rsidRDefault="00000000">
      <w:pPr>
        <w:spacing w:line="480" w:lineRule="auto"/>
        <w:ind w:firstLine="720"/>
        <w:jc w:val="both"/>
      </w:pPr>
      <w:r>
        <w:t>The empirical literature on deception detection constitutes one of the most thoroughly replicated bodies of research in applied psychology. Its findings are consistent, well-powered, and directly devastating to the foundational claim of interrogation methodology.</w:t>
      </w:r>
    </w:p>
    <w:p w14:paraId="415DDDA7" w14:textId="77777777" w:rsidR="0096110F" w:rsidRDefault="0096110F">
      <w:pPr>
        <w:spacing w:line="480" w:lineRule="auto"/>
      </w:pPr>
    </w:p>
    <w:p w14:paraId="490D2E3A" w14:textId="77777777" w:rsidR="0096110F" w:rsidRDefault="00000000">
      <w:pPr>
        <w:pStyle w:val="Heading2"/>
      </w:pPr>
      <w:r>
        <w:t>1.2 The Chance Problem</w:t>
      </w:r>
    </w:p>
    <w:p w14:paraId="19B349C1" w14:textId="77777777" w:rsidR="0096110F" w:rsidRDefault="00000000">
      <w:pPr>
        <w:spacing w:line="480" w:lineRule="auto"/>
        <w:ind w:firstLine="720"/>
        <w:jc w:val="both"/>
      </w:pPr>
      <w:r>
        <w:t>In a binary classification task (deceptive/truthful), chance performance is exactly 50%. A classifier that performs at 50% carries no information — its outputs are independent of the phenomenon it purports to classify. The question for deception detection research is therefore not whether investigators perform better than some absolute standard, but whether their performance is statistically and practically distinguishable from chance.</w:t>
      </w:r>
    </w:p>
    <w:p w14:paraId="0E212D0F" w14:textId="77777777" w:rsidR="0096110F" w:rsidRDefault="00000000">
      <w:pPr>
        <w:spacing w:line="480" w:lineRule="auto"/>
        <w:ind w:firstLine="720"/>
        <w:jc w:val="both"/>
      </w:pPr>
      <w:r>
        <w:t>Table 1 presents the key findings from the major studies and meta-analyses on deception detection accuracy among trained investigators.</w:t>
      </w:r>
    </w:p>
    <w:p w14:paraId="29CA57EA" w14:textId="77777777" w:rsidR="0096110F" w:rsidRDefault="0096110F">
      <w:pPr>
        <w:spacing w:line="480" w:lineRule="auto"/>
      </w:pPr>
    </w:p>
    <w:p w14:paraId="529B8014" w14:textId="77777777" w:rsidR="0096110F" w:rsidRDefault="00000000">
      <w:pPr>
        <w:spacing w:before="240" w:after="120"/>
        <w:jc w:val="center"/>
      </w:pPr>
      <w:r>
        <w:rPr>
          <w:b/>
          <w:bCs/>
          <w:i/>
          <w:iCs/>
          <w:sz w:val="22"/>
          <w:szCs w:val="22"/>
        </w:rPr>
        <w:t>Table 1: Deception Detection Accuracy — Meta-Analytic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400"/>
        <w:gridCol w:w="1400"/>
        <w:gridCol w:w="1400"/>
        <w:gridCol w:w="2360"/>
      </w:tblGrid>
      <w:tr w:rsidR="0096110F" w14:paraId="788BE84D" w14:textId="77777777">
        <w:tc>
          <w:tcPr>
            <w:tcW w:w="28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328D5177" w14:textId="77777777" w:rsidR="0096110F" w:rsidRDefault="00000000">
            <w:pPr>
              <w:jc w:val="center"/>
            </w:pPr>
            <w:r>
              <w:rPr>
                <w:b/>
                <w:bCs/>
                <w:color w:val="FFFFFF"/>
                <w:sz w:val="20"/>
                <w:szCs w:val="20"/>
              </w:rPr>
              <w:t>Study</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27AFFAB" w14:textId="77777777" w:rsidR="0096110F" w:rsidRDefault="00000000">
            <w:pPr>
              <w:jc w:val="center"/>
            </w:pPr>
            <w:r>
              <w:rPr>
                <w:b/>
                <w:bCs/>
                <w:color w:val="FFFFFF"/>
                <w:sz w:val="20"/>
                <w:szCs w:val="20"/>
              </w:rPr>
              <w:t>N (Judges)</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3AF4139" w14:textId="77777777" w:rsidR="0096110F" w:rsidRDefault="00000000">
            <w:pPr>
              <w:jc w:val="center"/>
            </w:pPr>
            <w:r>
              <w:rPr>
                <w:b/>
                <w:bCs/>
                <w:color w:val="FFFFFF"/>
                <w:sz w:val="20"/>
                <w:szCs w:val="20"/>
              </w:rPr>
              <w:t>Accuracy %</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25661C86" w14:textId="77777777" w:rsidR="0096110F" w:rsidRDefault="00000000">
            <w:pPr>
              <w:jc w:val="center"/>
            </w:pPr>
            <w:r>
              <w:rPr>
                <w:b/>
                <w:bCs/>
                <w:color w:val="FFFFFF"/>
                <w:sz w:val="20"/>
                <w:szCs w:val="20"/>
              </w:rPr>
              <w:t>95% CI</w:t>
            </w:r>
          </w:p>
        </w:tc>
        <w:tc>
          <w:tcPr>
            <w:tcW w:w="236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5960FB0C" w14:textId="77777777" w:rsidR="0096110F" w:rsidRDefault="00000000">
            <w:pPr>
              <w:jc w:val="center"/>
            </w:pPr>
            <w:r>
              <w:rPr>
                <w:b/>
                <w:bCs/>
                <w:color w:val="FFFFFF"/>
                <w:sz w:val="20"/>
                <w:szCs w:val="20"/>
              </w:rPr>
              <w:t>Population</w:t>
            </w:r>
          </w:p>
        </w:tc>
      </w:tr>
      <w:tr w:rsidR="0096110F" w14:paraId="167F88FC" w14:textId="77777777">
        <w:tc>
          <w:tcPr>
            <w:tcW w:w="28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A5BD639" w14:textId="77777777" w:rsidR="0096110F" w:rsidRDefault="00000000">
            <w:r>
              <w:rPr>
                <w:sz w:val="20"/>
                <w:szCs w:val="20"/>
              </w:rPr>
              <w:t>Ekman &amp; O'Sullivan (1991)</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036131D" w14:textId="77777777" w:rsidR="0096110F" w:rsidRDefault="00000000">
            <w:pPr>
              <w:jc w:val="center"/>
            </w:pPr>
            <w:r>
              <w:rPr>
                <w:sz w:val="20"/>
                <w:szCs w:val="20"/>
              </w:rPr>
              <w:t>509</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588012C" w14:textId="77777777" w:rsidR="0096110F" w:rsidRDefault="00000000">
            <w:pPr>
              <w:jc w:val="center"/>
            </w:pPr>
            <w:r>
              <w:rPr>
                <w:sz w:val="20"/>
                <w:szCs w:val="20"/>
              </w:rPr>
              <w:t>52.8</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DA1D351" w14:textId="77777777" w:rsidR="0096110F" w:rsidRDefault="00000000">
            <w:pPr>
              <w:jc w:val="center"/>
            </w:pPr>
            <w:r>
              <w:rPr>
                <w:sz w:val="20"/>
                <w:szCs w:val="20"/>
              </w:rPr>
              <w:t>[49.1, 56.5]</w:t>
            </w:r>
          </w:p>
        </w:tc>
        <w:tc>
          <w:tcPr>
            <w:tcW w:w="23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434BE91" w14:textId="77777777" w:rsidR="0096110F" w:rsidRDefault="00000000">
            <w:r>
              <w:rPr>
                <w:sz w:val="20"/>
                <w:szCs w:val="20"/>
              </w:rPr>
              <w:t>Law enforcement, judges, psychiatrists</w:t>
            </w:r>
          </w:p>
        </w:tc>
      </w:tr>
      <w:tr w:rsidR="0096110F" w14:paraId="01739ADE" w14:textId="77777777">
        <w:tc>
          <w:tcPr>
            <w:tcW w:w="28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5B6E9E3" w14:textId="77777777" w:rsidR="0096110F" w:rsidRDefault="00000000">
            <w:r>
              <w:rPr>
                <w:sz w:val="20"/>
                <w:szCs w:val="20"/>
              </w:rPr>
              <w:t>Vrij &amp; Graham (1997)</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5378819" w14:textId="77777777" w:rsidR="0096110F" w:rsidRDefault="00000000">
            <w:pPr>
              <w:jc w:val="center"/>
            </w:pPr>
            <w:r>
              <w:rPr>
                <w:sz w:val="20"/>
                <w:szCs w:val="20"/>
              </w:rPr>
              <w:t>156</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E6D10BA" w14:textId="77777777" w:rsidR="0096110F" w:rsidRDefault="00000000">
            <w:pPr>
              <w:jc w:val="center"/>
            </w:pPr>
            <w:r>
              <w:rPr>
                <w:sz w:val="20"/>
                <w:szCs w:val="20"/>
              </w:rPr>
              <w:t>53.2</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927B41F" w14:textId="77777777" w:rsidR="0096110F" w:rsidRDefault="00000000">
            <w:pPr>
              <w:jc w:val="center"/>
            </w:pPr>
            <w:r>
              <w:rPr>
                <w:sz w:val="20"/>
                <w:szCs w:val="20"/>
              </w:rPr>
              <w:t>[48.0, 58.4]</w:t>
            </w:r>
          </w:p>
        </w:tc>
        <w:tc>
          <w:tcPr>
            <w:tcW w:w="23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335C92D" w14:textId="77777777" w:rsidR="0096110F" w:rsidRDefault="00000000">
            <w:r>
              <w:rPr>
                <w:sz w:val="20"/>
                <w:szCs w:val="20"/>
              </w:rPr>
              <w:t>Police officers, UK</w:t>
            </w:r>
          </w:p>
        </w:tc>
      </w:tr>
      <w:tr w:rsidR="0096110F" w14:paraId="3ADD0C2B" w14:textId="77777777">
        <w:tc>
          <w:tcPr>
            <w:tcW w:w="28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B08F01E" w14:textId="77777777" w:rsidR="0096110F" w:rsidRDefault="00000000">
            <w:r>
              <w:rPr>
                <w:sz w:val="20"/>
                <w:szCs w:val="20"/>
              </w:rPr>
              <w:t>Meissner &amp; Kassin (2002)</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0F094F4" w14:textId="77777777" w:rsidR="0096110F" w:rsidRDefault="00000000">
            <w:pPr>
              <w:jc w:val="center"/>
            </w:pPr>
            <w:r>
              <w:rPr>
                <w:sz w:val="20"/>
                <w:szCs w:val="20"/>
              </w:rPr>
              <w:t>4,435</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88F22B8" w14:textId="77777777" w:rsidR="0096110F" w:rsidRDefault="00000000">
            <w:pPr>
              <w:jc w:val="center"/>
            </w:pPr>
            <w:r>
              <w:rPr>
                <w:sz w:val="20"/>
                <w:szCs w:val="20"/>
              </w:rPr>
              <w:t>54.0</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633AAA9" w14:textId="77777777" w:rsidR="0096110F" w:rsidRDefault="00000000">
            <w:pPr>
              <w:jc w:val="center"/>
            </w:pPr>
            <w:r>
              <w:rPr>
                <w:sz w:val="20"/>
                <w:szCs w:val="20"/>
              </w:rPr>
              <w:t>[52.5, 55.5]</w:t>
            </w:r>
          </w:p>
        </w:tc>
        <w:tc>
          <w:tcPr>
            <w:tcW w:w="23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726E99D" w14:textId="77777777" w:rsidR="0096110F" w:rsidRDefault="00000000">
            <w:r>
              <w:rPr>
                <w:sz w:val="20"/>
                <w:szCs w:val="20"/>
              </w:rPr>
              <w:t>Meta-analysis: civilians &amp; investigators</w:t>
            </w:r>
          </w:p>
        </w:tc>
      </w:tr>
      <w:tr w:rsidR="0096110F" w14:paraId="705DA818" w14:textId="77777777">
        <w:tc>
          <w:tcPr>
            <w:tcW w:w="28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D28A92F" w14:textId="77777777" w:rsidR="0096110F" w:rsidRDefault="00000000">
            <w:r>
              <w:rPr>
                <w:sz w:val="20"/>
                <w:szCs w:val="20"/>
              </w:rPr>
              <w:t>Bond &amp; DePaulo (2006)</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BEF4891" w14:textId="77777777" w:rsidR="0096110F" w:rsidRDefault="00000000">
            <w:pPr>
              <w:jc w:val="center"/>
            </w:pPr>
            <w:r>
              <w:rPr>
                <w:sz w:val="20"/>
                <w:szCs w:val="20"/>
              </w:rPr>
              <w:t>24,483</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15BFAA03" w14:textId="77777777" w:rsidR="0096110F" w:rsidRDefault="00000000">
            <w:pPr>
              <w:jc w:val="center"/>
            </w:pPr>
            <w:r>
              <w:rPr>
                <w:sz w:val="20"/>
                <w:szCs w:val="20"/>
              </w:rPr>
              <w:t>54.3</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4E9E591" w14:textId="77777777" w:rsidR="0096110F" w:rsidRDefault="00000000">
            <w:pPr>
              <w:jc w:val="center"/>
            </w:pPr>
            <w:r>
              <w:rPr>
                <w:sz w:val="20"/>
                <w:szCs w:val="20"/>
              </w:rPr>
              <w:t>[53.7, 54.9]</w:t>
            </w:r>
          </w:p>
        </w:tc>
        <w:tc>
          <w:tcPr>
            <w:tcW w:w="23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C18D985" w14:textId="77777777" w:rsidR="0096110F" w:rsidRDefault="00000000">
            <w:r>
              <w:rPr>
                <w:sz w:val="20"/>
                <w:szCs w:val="20"/>
              </w:rPr>
              <w:t>Meta-analysis: 247 studies</w:t>
            </w:r>
          </w:p>
        </w:tc>
      </w:tr>
      <w:tr w:rsidR="0096110F" w14:paraId="6C485792" w14:textId="77777777">
        <w:tc>
          <w:tcPr>
            <w:tcW w:w="28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4068652" w14:textId="77777777" w:rsidR="0096110F" w:rsidRDefault="00000000">
            <w:r>
              <w:rPr>
                <w:sz w:val="20"/>
                <w:szCs w:val="20"/>
              </w:rPr>
              <w:t>Vrij (2008) — overall meta-analysis</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95BDD52" w14:textId="77777777" w:rsidR="0096110F" w:rsidRDefault="00000000">
            <w:pPr>
              <w:jc w:val="center"/>
            </w:pPr>
            <w:r>
              <w:rPr>
                <w:sz w:val="20"/>
                <w:szCs w:val="20"/>
              </w:rPr>
              <w:t>~5,000</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4464AFB" w14:textId="77777777" w:rsidR="0096110F" w:rsidRDefault="00000000">
            <w:pPr>
              <w:jc w:val="center"/>
            </w:pPr>
            <w:r>
              <w:rPr>
                <w:sz w:val="20"/>
                <w:szCs w:val="20"/>
              </w:rPr>
              <w:t>54.0</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7B7883A" w14:textId="77777777" w:rsidR="0096110F" w:rsidRDefault="00000000">
            <w:pPr>
              <w:jc w:val="center"/>
            </w:pPr>
            <w:r>
              <w:rPr>
                <w:sz w:val="20"/>
                <w:szCs w:val="20"/>
              </w:rPr>
              <w:t>[53.0, 55.0]</w:t>
            </w:r>
          </w:p>
        </w:tc>
        <w:tc>
          <w:tcPr>
            <w:tcW w:w="23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6F1FB73" w14:textId="77777777" w:rsidR="0096110F" w:rsidRDefault="00000000">
            <w:r>
              <w:rPr>
                <w:sz w:val="20"/>
                <w:szCs w:val="20"/>
              </w:rPr>
              <w:t>Mixed professional/civilian</w:t>
            </w:r>
          </w:p>
        </w:tc>
      </w:tr>
      <w:tr w:rsidR="0096110F" w14:paraId="2EDADA20" w14:textId="77777777">
        <w:tc>
          <w:tcPr>
            <w:tcW w:w="28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E54725A" w14:textId="77777777" w:rsidR="0096110F" w:rsidRDefault="00000000">
            <w:r>
              <w:rPr>
                <w:sz w:val="20"/>
                <w:szCs w:val="20"/>
              </w:rPr>
              <w:t>Hartwig &amp; Bond (2011)</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8B3B957" w14:textId="77777777" w:rsidR="0096110F" w:rsidRDefault="00000000">
            <w:pPr>
              <w:jc w:val="center"/>
            </w:pPr>
            <w:r>
              <w:rPr>
                <w:sz w:val="20"/>
                <w:szCs w:val="20"/>
              </w:rPr>
              <w:t>~3,000</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1DA25DC" w14:textId="77777777" w:rsidR="0096110F" w:rsidRDefault="00000000">
            <w:pPr>
              <w:jc w:val="center"/>
            </w:pPr>
            <w:r>
              <w:rPr>
                <w:sz w:val="20"/>
                <w:szCs w:val="20"/>
              </w:rPr>
              <w:t>53.9</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8EB27F0" w14:textId="77777777" w:rsidR="0096110F" w:rsidRDefault="00000000">
            <w:pPr>
              <w:jc w:val="center"/>
            </w:pPr>
            <w:r>
              <w:rPr>
                <w:sz w:val="20"/>
                <w:szCs w:val="20"/>
              </w:rPr>
              <w:t>[52.1, 55.7]</w:t>
            </w:r>
          </w:p>
        </w:tc>
        <w:tc>
          <w:tcPr>
            <w:tcW w:w="23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0067F2D1" w14:textId="77777777" w:rsidR="0096110F" w:rsidRDefault="00000000">
            <w:r>
              <w:rPr>
                <w:sz w:val="20"/>
                <w:szCs w:val="20"/>
              </w:rPr>
              <w:t>Law enforcement</w:t>
            </w:r>
          </w:p>
        </w:tc>
      </w:tr>
      <w:tr w:rsidR="0096110F" w14:paraId="03D7744A" w14:textId="77777777">
        <w:tc>
          <w:tcPr>
            <w:tcW w:w="2800" w:type="dxa"/>
            <w:tcBorders>
              <w:top w:val="single" w:sz="4" w:space="0" w:color="2C3E50"/>
              <w:left w:val="single" w:sz="4" w:space="0" w:color="2C3E50"/>
              <w:bottom w:val="single" w:sz="4" w:space="0" w:color="2C3E50"/>
              <w:right w:val="single" w:sz="4" w:space="0" w:color="2C3E50"/>
            </w:tcBorders>
            <w:shd w:val="clear" w:color="auto" w:fill="E8F4F8"/>
            <w:tcMar>
              <w:top w:w="80" w:type="dxa"/>
              <w:left w:w="120" w:type="dxa"/>
              <w:bottom w:w="80" w:type="dxa"/>
              <w:right w:w="120" w:type="dxa"/>
            </w:tcMar>
          </w:tcPr>
          <w:p w14:paraId="1CEEB8D3" w14:textId="77777777" w:rsidR="0096110F" w:rsidRDefault="00000000">
            <w:r>
              <w:rPr>
                <w:b/>
                <w:bCs/>
                <w:sz w:val="20"/>
                <w:szCs w:val="20"/>
              </w:rPr>
              <w:t>CHANCE BASELINE</w:t>
            </w:r>
          </w:p>
        </w:tc>
        <w:tc>
          <w:tcPr>
            <w:tcW w:w="1400" w:type="dxa"/>
            <w:tcBorders>
              <w:top w:val="single" w:sz="4" w:space="0" w:color="2C3E50"/>
              <w:left w:val="single" w:sz="4" w:space="0" w:color="2C3E50"/>
              <w:bottom w:val="single" w:sz="4" w:space="0" w:color="2C3E50"/>
              <w:right w:val="single" w:sz="4" w:space="0" w:color="2C3E50"/>
            </w:tcBorders>
            <w:shd w:val="clear" w:color="auto" w:fill="E8F4F8"/>
            <w:tcMar>
              <w:top w:w="80" w:type="dxa"/>
              <w:left w:w="120" w:type="dxa"/>
              <w:bottom w:w="80" w:type="dxa"/>
              <w:right w:w="120" w:type="dxa"/>
            </w:tcMar>
          </w:tcPr>
          <w:p w14:paraId="0D352530" w14:textId="77777777" w:rsidR="0096110F" w:rsidRDefault="00000000">
            <w:pPr>
              <w:jc w:val="center"/>
            </w:pPr>
            <w:r>
              <w:rPr>
                <w:b/>
                <w:bCs/>
                <w:sz w:val="20"/>
                <w:szCs w:val="20"/>
              </w:rPr>
              <w:t>—</w:t>
            </w:r>
          </w:p>
        </w:tc>
        <w:tc>
          <w:tcPr>
            <w:tcW w:w="1400" w:type="dxa"/>
            <w:tcBorders>
              <w:top w:val="single" w:sz="4" w:space="0" w:color="2C3E50"/>
              <w:left w:val="single" w:sz="4" w:space="0" w:color="2C3E50"/>
              <w:bottom w:val="single" w:sz="4" w:space="0" w:color="2C3E50"/>
              <w:right w:val="single" w:sz="4" w:space="0" w:color="2C3E50"/>
            </w:tcBorders>
            <w:shd w:val="clear" w:color="auto" w:fill="E8F4F8"/>
            <w:tcMar>
              <w:top w:w="80" w:type="dxa"/>
              <w:left w:w="120" w:type="dxa"/>
              <w:bottom w:w="80" w:type="dxa"/>
              <w:right w:w="120" w:type="dxa"/>
            </w:tcMar>
          </w:tcPr>
          <w:p w14:paraId="4AE04E32" w14:textId="77777777" w:rsidR="0096110F" w:rsidRDefault="00000000">
            <w:pPr>
              <w:jc w:val="center"/>
            </w:pPr>
            <w:r>
              <w:rPr>
                <w:b/>
                <w:bCs/>
                <w:sz w:val="20"/>
                <w:szCs w:val="20"/>
              </w:rPr>
              <w:t>50.0</w:t>
            </w:r>
          </w:p>
        </w:tc>
        <w:tc>
          <w:tcPr>
            <w:tcW w:w="1400" w:type="dxa"/>
            <w:tcBorders>
              <w:top w:val="single" w:sz="4" w:space="0" w:color="2C3E50"/>
              <w:left w:val="single" w:sz="4" w:space="0" w:color="2C3E50"/>
              <w:bottom w:val="single" w:sz="4" w:space="0" w:color="2C3E50"/>
              <w:right w:val="single" w:sz="4" w:space="0" w:color="2C3E50"/>
            </w:tcBorders>
            <w:shd w:val="clear" w:color="auto" w:fill="E8F4F8"/>
            <w:tcMar>
              <w:top w:w="80" w:type="dxa"/>
              <w:left w:w="120" w:type="dxa"/>
              <w:bottom w:w="80" w:type="dxa"/>
              <w:right w:w="120" w:type="dxa"/>
            </w:tcMar>
          </w:tcPr>
          <w:p w14:paraId="1A24B101" w14:textId="77777777" w:rsidR="0096110F" w:rsidRDefault="00000000">
            <w:pPr>
              <w:jc w:val="center"/>
            </w:pPr>
            <w:r>
              <w:rPr>
                <w:b/>
                <w:bCs/>
                <w:sz w:val="20"/>
                <w:szCs w:val="20"/>
              </w:rPr>
              <w:t>[50.0, 50.0]</w:t>
            </w:r>
          </w:p>
        </w:tc>
        <w:tc>
          <w:tcPr>
            <w:tcW w:w="2360" w:type="dxa"/>
            <w:tcBorders>
              <w:top w:val="single" w:sz="4" w:space="0" w:color="2C3E50"/>
              <w:left w:val="single" w:sz="4" w:space="0" w:color="2C3E50"/>
              <w:bottom w:val="single" w:sz="4" w:space="0" w:color="2C3E50"/>
              <w:right w:val="single" w:sz="4" w:space="0" w:color="2C3E50"/>
            </w:tcBorders>
            <w:shd w:val="clear" w:color="auto" w:fill="E8F4F8"/>
            <w:tcMar>
              <w:top w:w="80" w:type="dxa"/>
              <w:left w:w="120" w:type="dxa"/>
              <w:bottom w:w="80" w:type="dxa"/>
              <w:right w:w="120" w:type="dxa"/>
            </w:tcMar>
          </w:tcPr>
          <w:p w14:paraId="0CA728DE" w14:textId="77777777" w:rsidR="0096110F" w:rsidRDefault="00000000">
            <w:r>
              <w:rPr>
                <w:b/>
                <w:bCs/>
                <w:sz w:val="20"/>
                <w:szCs w:val="20"/>
              </w:rPr>
              <w:t>Theoretical maximum with zero information</w:t>
            </w:r>
          </w:p>
        </w:tc>
      </w:tr>
      <w:tr w:rsidR="0096110F" w14:paraId="4116433F" w14:textId="77777777">
        <w:tc>
          <w:tcPr>
            <w:tcW w:w="28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7B94F1BA" w14:textId="77777777" w:rsidR="0096110F" w:rsidRDefault="00000000">
            <w:r>
              <w:rPr>
                <w:b/>
                <w:bCs/>
                <w:sz w:val="20"/>
                <w:szCs w:val="20"/>
              </w:rPr>
              <w:t>WEIGHTED MEAN (all studies)</w:t>
            </w:r>
          </w:p>
        </w:tc>
        <w:tc>
          <w:tcPr>
            <w:tcW w:w="14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1C0A6B47" w14:textId="77777777" w:rsidR="0096110F" w:rsidRDefault="00000000">
            <w:pPr>
              <w:jc w:val="center"/>
            </w:pPr>
            <w:r>
              <w:rPr>
                <w:b/>
                <w:bCs/>
                <w:sz w:val="20"/>
                <w:szCs w:val="20"/>
              </w:rPr>
              <w:t>~37,500</w:t>
            </w:r>
          </w:p>
        </w:tc>
        <w:tc>
          <w:tcPr>
            <w:tcW w:w="14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56C23C43" w14:textId="77777777" w:rsidR="0096110F" w:rsidRDefault="00000000">
            <w:pPr>
              <w:jc w:val="center"/>
            </w:pPr>
            <w:r>
              <w:rPr>
                <w:b/>
                <w:bCs/>
                <w:sz w:val="20"/>
                <w:szCs w:val="20"/>
              </w:rPr>
              <w:t>54.1</w:t>
            </w:r>
          </w:p>
        </w:tc>
        <w:tc>
          <w:tcPr>
            <w:tcW w:w="14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748EBC64" w14:textId="77777777" w:rsidR="0096110F" w:rsidRDefault="00000000">
            <w:pPr>
              <w:jc w:val="center"/>
            </w:pPr>
            <w:r>
              <w:rPr>
                <w:b/>
                <w:bCs/>
                <w:sz w:val="20"/>
                <w:szCs w:val="20"/>
              </w:rPr>
              <w:t>[53.6, 54.6]</w:t>
            </w:r>
          </w:p>
        </w:tc>
        <w:tc>
          <w:tcPr>
            <w:tcW w:w="236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22DE314E" w14:textId="77777777" w:rsidR="0096110F" w:rsidRDefault="00000000">
            <w:r>
              <w:rPr>
                <w:b/>
                <w:bCs/>
                <w:sz w:val="20"/>
                <w:szCs w:val="20"/>
              </w:rPr>
              <w:t>Advantage over chance: 4.1 percentage points</w:t>
            </w:r>
          </w:p>
        </w:tc>
      </w:tr>
    </w:tbl>
    <w:p w14:paraId="0E1E8D6C" w14:textId="77777777" w:rsidR="0096110F" w:rsidRDefault="0096110F">
      <w:pPr>
        <w:spacing w:line="480" w:lineRule="auto"/>
      </w:pPr>
    </w:p>
    <w:p w14:paraId="4524314A" w14:textId="77777777" w:rsidR="0096110F" w:rsidRDefault="00000000">
      <w:pPr>
        <w:pStyle w:val="Heading2"/>
      </w:pPr>
      <w:r>
        <w:t>1.3 Statistical Interpretation</w:t>
      </w:r>
    </w:p>
    <w:p w14:paraId="1883C18C" w14:textId="77777777" w:rsidR="0096110F" w:rsidRDefault="00000000">
      <w:pPr>
        <w:spacing w:line="480" w:lineRule="auto"/>
        <w:ind w:firstLine="720"/>
        <w:jc w:val="both"/>
      </w:pPr>
      <w:r>
        <w:t>The weighted mean accuracy of 54.1% across approximately 37,500 judgements represents a statistically significant deviation from chance (p &lt; .001). However, statistical significance is here misleading: the confidence interval of [53.6, 54.6] is narrow precisely because the sample is enormous, not because the effect is large. The practical significance is negligible.</w:t>
      </w:r>
    </w:p>
    <w:p w14:paraId="11A4CD49" w14:textId="77777777" w:rsidR="0096110F" w:rsidRDefault="00000000">
      <w:pPr>
        <w:spacing w:line="480" w:lineRule="auto"/>
        <w:ind w:firstLine="720"/>
        <w:jc w:val="both"/>
      </w:pPr>
      <w:r>
        <w:t xml:space="preserve">In operational terms: a trained investigator assessing 100 suspects will correctly identify approximately 54 and incorrectly classify approximately 46. Of the incorrectly classified, approximately half will be innocent persons assessed as deceptive — the precise population who will be subjected to the coercive interrogation sequence designed to produce confession. A system </w:t>
      </w:r>
      <w:r>
        <w:lastRenderedPageBreak/>
        <w:t>that generates false accusation at a rate of approximately 23% among those subjected to it cannot, in any epistemologically defensible sense, be described as a truth-finding mechanism.</w:t>
      </w:r>
    </w:p>
    <w:p w14:paraId="7A64308C" w14:textId="77777777" w:rsidR="0096110F" w:rsidRDefault="00000000">
      <w:pPr>
        <w:spacing w:line="480" w:lineRule="auto"/>
        <w:ind w:firstLine="720"/>
        <w:jc w:val="both"/>
      </w:pPr>
      <w:r>
        <w:t>Critically, Kassin et al. (2005) demonstrated that interrogation training does not improve accuracy; it improves confidence. Trained investigators are more certain of assessments that are barely more reliable than a coin flip. This dissociation of confidence from accuracy is precisely the cognitive architecture required to generate innocent convictions: investigators who are certain they have identified a guilty person, and who proceed to extraction of confession with that certainty, while being wrong approximately one time in four.</w:t>
      </w:r>
    </w:p>
    <w:p w14:paraId="70A7728D" w14:textId="77777777" w:rsidR="0096110F" w:rsidRDefault="0096110F">
      <w:pPr>
        <w:spacing w:line="480" w:lineRule="auto"/>
      </w:pPr>
    </w:p>
    <w:p w14:paraId="62E289A0" w14:textId="77777777" w:rsidR="0096110F" w:rsidRDefault="0096110F">
      <w:pPr>
        <w:pageBreakBefore/>
      </w:pPr>
    </w:p>
    <w:p w14:paraId="27C6A973" w14:textId="77777777" w:rsidR="0096110F" w:rsidRDefault="00000000">
      <w:pPr>
        <w:pStyle w:val="Heading1"/>
      </w:pPr>
      <w:r>
        <w:t>Section 2: The Malleability of Memory — Language as Memory Author</w:t>
      </w:r>
    </w:p>
    <w:p w14:paraId="0B5F70F4" w14:textId="77777777" w:rsidR="0096110F" w:rsidRDefault="00000000">
      <w:pPr>
        <w:pStyle w:val="Heading2"/>
      </w:pPr>
      <w:r>
        <w:t>2.1 Overview</w:t>
      </w:r>
    </w:p>
    <w:p w14:paraId="677D01C0" w14:textId="77777777" w:rsidR="0096110F" w:rsidRDefault="00000000">
      <w:pPr>
        <w:spacing w:line="480" w:lineRule="auto"/>
        <w:ind w:firstLine="720"/>
        <w:jc w:val="both"/>
      </w:pPr>
      <w:r>
        <w:t>The second pillar of the construction thesis concerns the relationship between language and memory. If legal testimony is a reliable report of past events — a description of reality — then the linguistic practices of interrogation and cross-examination are neutral instruments of extraction. If, conversely, testimony is a product of the interaction between memory and the linguistic environment in which recall occurs, then those who control the language control the evidence.</w:t>
      </w:r>
    </w:p>
    <w:p w14:paraId="41B91D08" w14:textId="77777777" w:rsidR="0096110F" w:rsidRDefault="00000000">
      <w:pPr>
        <w:spacing w:line="480" w:lineRule="auto"/>
        <w:ind w:firstLine="720"/>
        <w:jc w:val="both"/>
      </w:pPr>
      <w:r>
        <w:t>Elizabeth Loftus's research programme, sustained over more than three decades and joined by hundreds of independent replication studies, establishes the latter beyond reasonable scientific dispute. Table 2 presents the key findings.</w:t>
      </w:r>
    </w:p>
    <w:p w14:paraId="759BA687" w14:textId="77777777" w:rsidR="0096110F" w:rsidRDefault="0096110F">
      <w:pPr>
        <w:spacing w:line="480" w:lineRule="auto"/>
      </w:pPr>
    </w:p>
    <w:p w14:paraId="6F507516" w14:textId="77777777" w:rsidR="0096110F" w:rsidRDefault="00000000">
      <w:pPr>
        <w:spacing w:before="240" w:after="120"/>
        <w:jc w:val="center"/>
      </w:pPr>
      <w:r>
        <w:rPr>
          <w:b/>
          <w:bCs/>
          <w:i/>
          <w:iCs/>
          <w:sz w:val="22"/>
          <w:szCs w:val="22"/>
        </w:rPr>
        <w:t>Table 2: Memory Distortion by Linguistic Manipulation — Effect Sizes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500"/>
        <w:gridCol w:w="1200"/>
        <w:gridCol w:w="1200"/>
        <w:gridCol w:w="2860"/>
      </w:tblGrid>
      <w:tr w:rsidR="0096110F" w14:paraId="1F544750" w14:textId="77777777">
        <w:tc>
          <w:tcPr>
            <w:tcW w:w="26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CA8CA58" w14:textId="77777777" w:rsidR="0096110F" w:rsidRDefault="00000000">
            <w:pPr>
              <w:jc w:val="center"/>
            </w:pPr>
            <w:r>
              <w:rPr>
                <w:b/>
                <w:bCs/>
                <w:color w:val="FFFFFF"/>
                <w:sz w:val="20"/>
                <w:szCs w:val="20"/>
              </w:rPr>
              <w:t>Study</w:t>
            </w:r>
          </w:p>
        </w:tc>
        <w:tc>
          <w:tcPr>
            <w:tcW w:w="15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2678DD3" w14:textId="77777777" w:rsidR="0096110F" w:rsidRDefault="00000000">
            <w:pPr>
              <w:jc w:val="center"/>
            </w:pPr>
            <w:r>
              <w:rPr>
                <w:b/>
                <w:bCs/>
                <w:color w:val="FFFFFF"/>
                <w:sz w:val="20"/>
                <w:szCs w:val="20"/>
              </w:rPr>
              <w:t>Manipulation</w:t>
            </w:r>
          </w:p>
        </w:tc>
        <w:tc>
          <w:tcPr>
            <w:tcW w:w="12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09B8BB3C" w14:textId="77777777" w:rsidR="0096110F" w:rsidRDefault="00000000">
            <w:pPr>
              <w:jc w:val="center"/>
            </w:pPr>
            <w:r>
              <w:rPr>
                <w:b/>
                <w:bCs/>
                <w:color w:val="FFFFFF"/>
                <w:sz w:val="20"/>
                <w:szCs w:val="20"/>
              </w:rPr>
              <w:t>Effect Size (d)</w:t>
            </w:r>
          </w:p>
        </w:tc>
        <w:tc>
          <w:tcPr>
            <w:tcW w:w="12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0EF3AFB6" w14:textId="77777777" w:rsidR="0096110F" w:rsidRDefault="00000000">
            <w:pPr>
              <w:jc w:val="center"/>
            </w:pPr>
            <w:r>
              <w:rPr>
                <w:b/>
                <w:bCs/>
                <w:color w:val="FFFFFF"/>
                <w:sz w:val="20"/>
                <w:szCs w:val="20"/>
              </w:rPr>
              <w:t>False Memory %</w:t>
            </w:r>
          </w:p>
        </w:tc>
        <w:tc>
          <w:tcPr>
            <w:tcW w:w="286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35A89476" w14:textId="77777777" w:rsidR="0096110F" w:rsidRDefault="00000000">
            <w:pPr>
              <w:jc w:val="center"/>
            </w:pPr>
            <w:r>
              <w:rPr>
                <w:b/>
                <w:bCs/>
                <w:color w:val="FFFFFF"/>
                <w:sz w:val="20"/>
                <w:szCs w:val="20"/>
              </w:rPr>
              <w:t>Key Finding</w:t>
            </w:r>
          </w:p>
        </w:tc>
      </w:tr>
      <w:tr w:rsidR="0096110F" w14:paraId="232744E5" w14:textId="77777777">
        <w:tc>
          <w:tcPr>
            <w:tcW w:w="2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F4096BC" w14:textId="77777777" w:rsidR="0096110F" w:rsidRDefault="00000000">
            <w:r>
              <w:rPr>
                <w:sz w:val="20"/>
                <w:szCs w:val="20"/>
              </w:rPr>
              <w:t>Loftus &amp; Palmer (1974)</w:t>
            </w:r>
          </w:p>
        </w:tc>
        <w:tc>
          <w:tcPr>
            <w:tcW w:w="1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BE39FDB" w14:textId="77777777" w:rsidR="0096110F" w:rsidRDefault="00000000">
            <w:r>
              <w:rPr>
                <w:sz w:val="20"/>
                <w:szCs w:val="20"/>
              </w:rPr>
              <w:t>Single verb change</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678949D" w14:textId="77777777" w:rsidR="0096110F" w:rsidRDefault="00000000">
            <w:pPr>
              <w:jc w:val="center"/>
            </w:pPr>
            <w:r>
              <w:rPr>
                <w:sz w:val="20"/>
                <w:szCs w:val="20"/>
              </w:rPr>
              <w:t>0.89</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AEA0ED9" w14:textId="77777777" w:rsidR="0096110F" w:rsidRDefault="00000000">
            <w:pPr>
              <w:jc w:val="center"/>
            </w:pPr>
            <w:r>
              <w:rPr>
                <w:sz w:val="20"/>
                <w:szCs w:val="20"/>
              </w:rPr>
              <w:t>32%</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0485D11" w14:textId="77777777" w:rsidR="0096110F" w:rsidRDefault="00000000">
            <w:r>
              <w:rPr>
                <w:sz w:val="20"/>
                <w:szCs w:val="20"/>
              </w:rPr>
              <w:t>'Smashed' vs. 'contacted': 16 km/h speed difference; 32% false glass memory vs. 14%</w:t>
            </w:r>
          </w:p>
        </w:tc>
      </w:tr>
      <w:tr w:rsidR="0096110F" w14:paraId="39FF4FB8" w14:textId="77777777">
        <w:tc>
          <w:tcPr>
            <w:tcW w:w="2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48AD870" w14:textId="77777777" w:rsidR="0096110F" w:rsidRDefault="00000000">
            <w:r>
              <w:rPr>
                <w:sz w:val="20"/>
                <w:szCs w:val="20"/>
              </w:rPr>
              <w:t>Loftus et al. (1978)</w:t>
            </w:r>
          </w:p>
        </w:tc>
        <w:tc>
          <w:tcPr>
            <w:tcW w:w="1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D9E12F5" w14:textId="77777777" w:rsidR="0096110F" w:rsidRDefault="00000000">
            <w:r>
              <w:rPr>
                <w:sz w:val="20"/>
                <w:szCs w:val="20"/>
              </w:rPr>
              <w:t>Leading question</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44A2BC7" w14:textId="77777777" w:rsidR="0096110F" w:rsidRDefault="00000000">
            <w:pPr>
              <w:jc w:val="center"/>
            </w:pPr>
            <w:r>
              <w:rPr>
                <w:sz w:val="20"/>
                <w:szCs w:val="20"/>
              </w:rPr>
              <w:t>0.72</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C7E44E9" w14:textId="77777777" w:rsidR="0096110F" w:rsidRDefault="00000000">
            <w:pPr>
              <w:jc w:val="center"/>
            </w:pPr>
            <w:r>
              <w:rPr>
                <w:sz w:val="20"/>
                <w:szCs w:val="20"/>
              </w:rPr>
              <w:t>17%</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32693C2" w14:textId="77777777" w:rsidR="0096110F" w:rsidRDefault="00000000">
            <w:r>
              <w:rPr>
                <w:sz w:val="20"/>
                <w:szCs w:val="20"/>
              </w:rPr>
              <w:t>Subjects 'recalled' non-existent barn after leading question</w:t>
            </w:r>
          </w:p>
        </w:tc>
      </w:tr>
      <w:tr w:rsidR="0096110F" w14:paraId="0AA4F3BF" w14:textId="77777777">
        <w:tc>
          <w:tcPr>
            <w:tcW w:w="2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2A2224F" w14:textId="77777777" w:rsidR="0096110F" w:rsidRDefault="00000000">
            <w:r>
              <w:rPr>
                <w:sz w:val="20"/>
                <w:szCs w:val="20"/>
              </w:rPr>
              <w:t>McCloskey &amp; Zaragoza (1985)</w:t>
            </w:r>
          </w:p>
        </w:tc>
        <w:tc>
          <w:tcPr>
            <w:tcW w:w="1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10AE9B8" w14:textId="77777777" w:rsidR="0096110F" w:rsidRDefault="00000000">
            <w:r>
              <w:rPr>
                <w:sz w:val="20"/>
                <w:szCs w:val="20"/>
              </w:rPr>
              <w:t>Post-event info</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AB51A73" w14:textId="77777777" w:rsidR="0096110F" w:rsidRDefault="00000000">
            <w:pPr>
              <w:jc w:val="center"/>
            </w:pPr>
            <w:r>
              <w:rPr>
                <w:sz w:val="20"/>
                <w:szCs w:val="20"/>
              </w:rPr>
              <w:t>0.61</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0C4891E" w14:textId="77777777" w:rsidR="0096110F" w:rsidRDefault="00000000">
            <w:pPr>
              <w:jc w:val="center"/>
            </w:pPr>
            <w:r>
              <w:rPr>
                <w:sz w:val="20"/>
                <w:szCs w:val="20"/>
              </w:rPr>
              <w:t>~25%</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ECD077C" w14:textId="77777777" w:rsidR="0096110F" w:rsidRDefault="00000000">
            <w:r>
              <w:rPr>
                <w:sz w:val="20"/>
                <w:szCs w:val="20"/>
              </w:rPr>
              <w:t>Post-event narrative integration produces false recall in 1-in-4 subjects</w:t>
            </w:r>
          </w:p>
        </w:tc>
      </w:tr>
      <w:tr w:rsidR="0096110F" w14:paraId="0E8DA2F4" w14:textId="77777777">
        <w:tc>
          <w:tcPr>
            <w:tcW w:w="2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52795BD" w14:textId="77777777" w:rsidR="0096110F" w:rsidRDefault="00000000">
            <w:r>
              <w:rPr>
                <w:sz w:val="20"/>
                <w:szCs w:val="20"/>
              </w:rPr>
              <w:t>Belli (1989)</w:t>
            </w:r>
          </w:p>
        </w:tc>
        <w:tc>
          <w:tcPr>
            <w:tcW w:w="1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0AA86C13" w14:textId="77777777" w:rsidR="0096110F" w:rsidRDefault="00000000">
            <w:r>
              <w:rPr>
                <w:sz w:val="20"/>
                <w:szCs w:val="20"/>
              </w:rPr>
              <w:t>Misleading questions</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A46C47B" w14:textId="77777777" w:rsidR="0096110F" w:rsidRDefault="00000000">
            <w:pPr>
              <w:jc w:val="center"/>
            </w:pPr>
            <w:r>
              <w:rPr>
                <w:sz w:val="20"/>
                <w:szCs w:val="20"/>
              </w:rPr>
              <w:t>0.68</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07EC89A4" w14:textId="77777777" w:rsidR="0096110F" w:rsidRDefault="00000000">
            <w:pPr>
              <w:jc w:val="center"/>
            </w:pPr>
            <w:r>
              <w:rPr>
                <w:sz w:val="20"/>
                <w:szCs w:val="20"/>
              </w:rPr>
              <w:t>~22%</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1868FBB9" w14:textId="77777777" w:rsidR="0096110F" w:rsidRDefault="00000000">
            <w:r>
              <w:rPr>
                <w:sz w:val="20"/>
                <w:szCs w:val="20"/>
              </w:rPr>
              <w:t>Misleading questions produced memory substitution in majority of trials</w:t>
            </w:r>
          </w:p>
        </w:tc>
      </w:tr>
      <w:tr w:rsidR="0096110F" w14:paraId="1EED3B52" w14:textId="77777777">
        <w:tc>
          <w:tcPr>
            <w:tcW w:w="2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AB12DB3" w14:textId="77777777" w:rsidR="0096110F" w:rsidRDefault="00000000">
            <w:r>
              <w:rPr>
                <w:sz w:val="20"/>
                <w:szCs w:val="20"/>
              </w:rPr>
              <w:lastRenderedPageBreak/>
              <w:t>Loftus (1993) — Lost in Mall</w:t>
            </w:r>
          </w:p>
        </w:tc>
        <w:tc>
          <w:tcPr>
            <w:tcW w:w="1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A331BAC" w14:textId="77777777" w:rsidR="0096110F" w:rsidRDefault="00000000">
            <w:r>
              <w:rPr>
                <w:sz w:val="20"/>
                <w:szCs w:val="20"/>
              </w:rPr>
              <w:t>False narrative</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05B961B1" w14:textId="77777777" w:rsidR="0096110F" w:rsidRDefault="00000000">
            <w:pPr>
              <w:jc w:val="center"/>
            </w:pPr>
            <w:r>
              <w:rPr>
                <w:sz w:val="20"/>
                <w:szCs w:val="20"/>
              </w:rPr>
              <w:t>—</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3E56C5D" w14:textId="77777777" w:rsidR="0096110F" w:rsidRDefault="00000000">
            <w:pPr>
              <w:jc w:val="center"/>
            </w:pPr>
            <w:r>
              <w:rPr>
                <w:sz w:val="20"/>
                <w:szCs w:val="20"/>
              </w:rPr>
              <w:t>25%</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037AF3F2" w14:textId="77777777" w:rsidR="0096110F" w:rsidRDefault="00000000">
            <w:r>
              <w:rPr>
                <w:sz w:val="20"/>
                <w:szCs w:val="20"/>
              </w:rPr>
              <w:t>25% of subjects developed detailed false memories of events that never occurred</w:t>
            </w:r>
          </w:p>
        </w:tc>
      </w:tr>
      <w:tr w:rsidR="0096110F" w14:paraId="575099AD" w14:textId="77777777">
        <w:tc>
          <w:tcPr>
            <w:tcW w:w="2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0E09794E" w14:textId="77777777" w:rsidR="0096110F" w:rsidRDefault="00000000">
            <w:r>
              <w:rPr>
                <w:sz w:val="20"/>
                <w:szCs w:val="20"/>
              </w:rPr>
              <w:t>Hyman et al. (1995)</w:t>
            </w:r>
          </w:p>
        </w:tc>
        <w:tc>
          <w:tcPr>
            <w:tcW w:w="1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1C7F67E0" w14:textId="77777777" w:rsidR="0096110F" w:rsidRDefault="00000000">
            <w:r>
              <w:rPr>
                <w:sz w:val="20"/>
                <w:szCs w:val="20"/>
              </w:rPr>
              <w:t>False childhood events</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5EC0BB3D" w14:textId="77777777" w:rsidR="0096110F" w:rsidRDefault="00000000">
            <w:pPr>
              <w:jc w:val="center"/>
            </w:pPr>
            <w:r>
              <w:rPr>
                <w:sz w:val="20"/>
                <w:szCs w:val="20"/>
              </w:rPr>
              <w:t>—</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2DBFC36" w14:textId="77777777" w:rsidR="0096110F" w:rsidRDefault="00000000">
            <w:pPr>
              <w:jc w:val="center"/>
            </w:pPr>
            <w:r>
              <w:rPr>
                <w:sz w:val="20"/>
                <w:szCs w:val="20"/>
              </w:rPr>
              <w:t>20–25%</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C67706B" w14:textId="77777777" w:rsidR="0096110F" w:rsidRDefault="00000000">
            <w:r>
              <w:rPr>
                <w:sz w:val="20"/>
                <w:szCs w:val="20"/>
              </w:rPr>
              <w:t>Subjects elaborated and 'remembered' entirely fabricated childhood events</w:t>
            </w:r>
          </w:p>
        </w:tc>
      </w:tr>
      <w:tr w:rsidR="0096110F" w14:paraId="0F437447" w14:textId="77777777">
        <w:tc>
          <w:tcPr>
            <w:tcW w:w="2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A2475C3" w14:textId="77777777" w:rsidR="0096110F" w:rsidRDefault="00000000">
            <w:r>
              <w:rPr>
                <w:sz w:val="20"/>
                <w:szCs w:val="20"/>
              </w:rPr>
              <w:t>Loftus (2005) — 30-year review</w:t>
            </w:r>
          </w:p>
        </w:tc>
        <w:tc>
          <w:tcPr>
            <w:tcW w:w="1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3C6939A" w14:textId="77777777" w:rsidR="0096110F" w:rsidRDefault="00000000">
            <w:r>
              <w:rPr>
                <w:sz w:val="20"/>
                <w:szCs w:val="20"/>
              </w:rPr>
              <w:t>Various linguistic</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4196C04" w14:textId="77777777" w:rsidR="0096110F" w:rsidRDefault="00000000">
            <w:pPr>
              <w:jc w:val="center"/>
            </w:pPr>
            <w:r>
              <w:rPr>
                <w:sz w:val="20"/>
                <w:szCs w:val="20"/>
              </w:rPr>
              <w:t>0.60–0.95</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E518CAC" w14:textId="77777777" w:rsidR="0096110F" w:rsidRDefault="00000000">
            <w:pPr>
              <w:jc w:val="center"/>
            </w:pPr>
            <w:r>
              <w:rPr>
                <w:sz w:val="20"/>
                <w:szCs w:val="20"/>
              </w:rPr>
              <w:t>15–35%</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98E9DAB" w14:textId="77777777" w:rsidR="0096110F" w:rsidRDefault="00000000">
            <w:r>
              <w:rPr>
                <w:sz w:val="20"/>
                <w:szCs w:val="20"/>
              </w:rPr>
              <w:t>Consistent replication: language alters memory in 15–35% of subjects across 30 years of study</w:t>
            </w:r>
          </w:p>
        </w:tc>
      </w:tr>
      <w:tr w:rsidR="0096110F" w14:paraId="59BD93FF" w14:textId="77777777">
        <w:tc>
          <w:tcPr>
            <w:tcW w:w="26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29D08263" w14:textId="77777777" w:rsidR="0096110F" w:rsidRDefault="00000000">
            <w:r>
              <w:rPr>
                <w:b/>
                <w:bCs/>
                <w:sz w:val="20"/>
                <w:szCs w:val="20"/>
              </w:rPr>
              <w:t>AGGREGATE (Misinformation Effect)</w:t>
            </w:r>
          </w:p>
        </w:tc>
        <w:tc>
          <w:tcPr>
            <w:tcW w:w="15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3F26EB74" w14:textId="77777777" w:rsidR="0096110F" w:rsidRDefault="00000000">
            <w:r>
              <w:rPr>
                <w:b/>
                <w:bCs/>
                <w:sz w:val="20"/>
                <w:szCs w:val="20"/>
              </w:rPr>
              <w:t>Post-event language</w:t>
            </w:r>
          </w:p>
        </w:tc>
        <w:tc>
          <w:tcPr>
            <w:tcW w:w="12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532392A9" w14:textId="77777777" w:rsidR="0096110F" w:rsidRDefault="00000000">
            <w:pPr>
              <w:jc w:val="center"/>
            </w:pPr>
            <w:r>
              <w:rPr>
                <w:b/>
                <w:bCs/>
                <w:sz w:val="20"/>
                <w:szCs w:val="20"/>
              </w:rPr>
              <w:t>d = 0.72</w:t>
            </w:r>
          </w:p>
        </w:tc>
        <w:tc>
          <w:tcPr>
            <w:tcW w:w="12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16BE4F37" w14:textId="77777777" w:rsidR="0096110F" w:rsidRDefault="00000000">
            <w:pPr>
              <w:jc w:val="center"/>
            </w:pPr>
            <w:r>
              <w:rPr>
                <w:b/>
                <w:bCs/>
                <w:sz w:val="20"/>
                <w:szCs w:val="20"/>
              </w:rPr>
              <w:t>~22%</w:t>
            </w:r>
          </w:p>
        </w:tc>
        <w:tc>
          <w:tcPr>
            <w:tcW w:w="286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1DF1A116" w14:textId="77777777" w:rsidR="0096110F" w:rsidRDefault="00000000">
            <w:r>
              <w:rPr>
                <w:b/>
                <w:bCs/>
                <w:sz w:val="20"/>
                <w:szCs w:val="20"/>
              </w:rPr>
              <w:t>1-in-5 subjects will have memories altered by language alone. Effect is robust, replicated, and directly applicable to interrogation and cross-examination settings.</w:t>
            </w:r>
          </w:p>
        </w:tc>
      </w:tr>
    </w:tbl>
    <w:p w14:paraId="58E370A8" w14:textId="77777777" w:rsidR="0096110F" w:rsidRDefault="0096110F">
      <w:pPr>
        <w:spacing w:line="480" w:lineRule="auto"/>
      </w:pPr>
    </w:p>
    <w:p w14:paraId="2865C0C3" w14:textId="77777777" w:rsidR="0096110F" w:rsidRDefault="00000000">
      <w:pPr>
        <w:pStyle w:val="Heading2"/>
      </w:pPr>
      <w:r>
        <w:t>2.2 What d = 0.72 Means</w:t>
      </w:r>
    </w:p>
    <w:p w14:paraId="62A0C99C" w14:textId="77777777" w:rsidR="0096110F" w:rsidRDefault="00000000">
      <w:pPr>
        <w:spacing w:line="480" w:lineRule="auto"/>
        <w:ind w:firstLine="720"/>
        <w:jc w:val="both"/>
      </w:pPr>
      <w:r>
        <w:t>An effect size of d = 0.72 is conventionally classified as large (Cohen, 1988). In practical terms, it means that a person who receives misleading linguistic information after witnessing an event will, on average, report a memory that is 0.72 standard deviations displaced from the memory of a person who received no such information. In the specific context of Loftus and Palmer's (1974) original study, a single word change — from 'contacted' to 'smashed' — produced a 16 km/h difference in speed estimates and, one week later, generated false memories of non-existent broken glass in 32% of subjects compared to 14% of controls: an odds ratio of 2.86.</w:t>
      </w:r>
    </w:p>
    <w:p w14:paraId="4D635E88" w14:textId="77777777" w:rsidR="0096110F" w:rsidRDefault="00000000">
      <w:pPr>
        <w:spacing w:line="480" w:lineRule="auto"/>
        <w:ind w:firstLine="720"/>
        <w:jc w:val="both"/>
      </w:pPr>
      <w:r>
        <w:t xml:space="preserve">The forensic implications are considerable. A cross-examining attorney who substitutes 'smashed' for 'hit,' 'grabbed' for 'touched,' 'threatened' for 'spoke to,' or 'fled' for 'left' is not merely characterising events — they are altering the memories of witnesses who are simultaneously forming and reporting them. The jury who hears the amended account one week later will receive </w:t>
      </w:r>
      <w:r>
        <w:lastRenderedPageBreak/>
        <w:t>a memory that has been linguistically authored, and will have no basis to distinguish it from an unmodified report.</w:t>
      </w:r>
    </w:p>
    <w:p w14:paraId="782E60B8" w14:textId="77777777" w:rsidR="0096110F" w:rsidRDefault="00000000">
      <w:pPr>
        <w:spacing w:line="480" w:lineRule="auto"/>
        <w:ind w:firstLine="720"/>
        <w:jc w:val="both"/>
      </w:pPr>
      <w:r>
        <w:t>The aggregate false memory rate of approximately 22% across studies means that in any group of five witnesses subjected to post-event linguistic manipulation — the routine condition of any interrogation or cross-examination — approximately one will carry a materially altered memory into their testimony. They will not know this. They will be certain their memory is accurate. The court will have no mechanism for identifying them.</w:t>
      </w:r>
    </w:p>
    <w:p w14:paraId="26416077" w14:textId="77777777" w:rsidR="0096110F" w:rsidRDefault="0096110F">
      <w:pPr>
        <w:spacing w:line="480" w:lineRule="auto"/>
      </w:pPr>
    </w:p>
    <w:p w14:paraId="351E852E" w14:textId="77777777" w:rsidR="0096110F" w:rsidRDefault="00000000">
      <w:pPr>
        <w:pStyle w:val="Heading2"/>
      </w:pPr>
      <w:r>
        <w:t>2.3 The Contaminated Confession</w:t>
      </w:r>
    </w:p>
    <w:p w14:paraId="6EE80848" w14:textId="77777777" w:rsidR="0096110F" w:rsidRDefault="00000000">
      <w:pPr>
        <w:spacing w:line="480" w:lineRule="auto"/>
        <w:ind w:firstLine="720"/>
        <w:jc w:val="both"/>
      </w:pPr>
      <w:r>
        <w:t xml:space="preserve">The memory literature intersects with the false confession literature in a specifically significant way: the contamination of confession content. Leo and </w:t>
      </w:r>
      <w:proofErr w:type="spellStart"/>
      <w:r>
        <w:t>Ofshe</w:t>
      </w:r>
      <w:proofErr w:type="spellEnd"/>
      <w:r>
        <w:t xml:space="preserve"> (1998) documented cases in which written confessions contained accurate crime-scene details that the confessor could not have known — details that could only have been introduced by investigators during the interrogation. This is the memory distortion effect operating in reverse: not the distortion of a witness's memory by post-event language, but the introduction of investigator knowledge into a confessor's account through the same linguistic mechanisms. The written confession, presented as the accused's own narrative, is in part the investigator's narrative — a text produced through the collaborative linguistic processes that the memory literature has established as powerful and largely invisible.</w:t>
      </w:r>
    </w:p>
    <w:p w14:paraId="56929270" w14:textId="77777777" w:rsidR="0096110F" w:rsidRDefault="0096110F">
      <w:pPr>
        <w:spacing w:line="480" w:lineRule="auto"/>
      </w:pPr>
    </w:p>
    <w:p w14:paraId="5008BC43" w14:textId="77777777" w:rsidR="0096110F" w:rsidRDefault="0096110F">
      <w:pPr>
        <w:pageBreakBefore/>
      </w:pPr>
    </w:p>
    <w:p w14:paraId="7A2B2D8E" w14:textId="77777777" w:rsidR="0096110F" w:rsidRDefault="00000000">
      <w:pPr>
        <w:pStyle w:val="Heading1"/>
      </w:pPr>
      <w:r>
        <w:t>Section 3: False Confession Rates — The System's Own Output</w:t>
      </w:r>
    </w:p>
    <w:p w14:paraId="657F8AE8" w14:textId="77777777" w:rsidR="0096110F" w:rsidRDefault="00000000">
      <w:pPr>
        <w:pStyle w:val="Heading2"/>
      </w:pPr>
      <w:r>
        <w:t>3.1 Overview</w:t>
      </w:r>
    </w:p>
    <w:p w14:paraId="6900DCE4" w14:textId="77777777" w:rsidR="0096110F" w:rsidRDefault="00000000">
      <w:pPr>
        <w:spacing w:line="480" w:lineRule="auto"/>
        <w:ind w:firstLine="720"/>
        <w:jc w:val="both"/>
      </w:pPr>
      <w:r>
        <w:t>The false confession literature provides the most direct evidence for the construction thesis because it operates at the level of the system's output rather than its mechanisms. The question is not whether interrogation is designed to produce confessions (it is), or whether language can alter memory (it can), but whether the system in fact produces confessions from innocent people at rates that are inconsistent with a truth-finding model. The answer, across multiple independent datasets, is unambiguously yes.</w:t>
      </w:r>
    </w:p>
    <w:p w14:paraId="61270545" w14:textId="77777777" w:rsidR="0096110F" w:rsidRDefault="0096110F">
      <w:pPr>
        <w:spacing w:line="480" w:lineRule="auto"/>
      </w:pPr>
    </w:p>
    <w:p w14:paraId="31021E3B" w14:textId="77777777" w:rsidR="0096110F" w:rsidRDefault="00000000">
      <w:pPr>
        <w:spacing w:before="240" w:after="120"/>
        <w:jc w:val="center"/>
      </w:pPr>
      <w:r>
        <w:rPr>
          <w:b/>
          <w:bCs/>
          <w:i/>
          <w:iCs/>
          <w:sz w:val="22"/>
          <w:szCs w:val="22"/>
        </w:rPr>
        <w:t>Table 3: False Confession Rates Across Exoneration Datasets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400"/>
        <w:gridCol w:w="1200"/>
        <w:gridCol w:w="1400"/>
        <w:gridCol w:w="2860"/>
      </w:tblGrid>
      <w:tr w:rsidR="0096110F" w14:paraId="30BD724A" w14:textId="77777777">
        <w:tc>
          <w:tcPr>
            <w:tcW w:w="25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394E8212" w14:textId="77777777" w:rsidR="0096110F" w:rsidRDefault="00000000">
            <w:pPr>
              <w:jc w:val="center"/>
            </w:pPr>
            <w:r>
              <w:rPr>
                <w:b/>
                <w:bCs/>
                <w:color w:val="FFFFFF"/>
                <w:sz w:val="20"/>
                <w:szCs w:val="20"/>
              </w:rPr>
              <w:t>Dataset / Study</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13E0AEB4" w14:textId="77777777" w:rsidR="0096110F" w:rsidRDefault="00000000">
            <w:pPr>
              <w:jc w:val="center"/>
            </w:pPr>
            <w:r>
              <w:rPr>
                <w:b/>
                <w:bCs/>
                <w:color w:val="FFFFFF"/>
                <w:sz w:val="20"/>
                <w:szCs w:val="20"/>
              </w:rPr>
              <w:t>N (Cases)</w:t>
            </w:r>
          </w:p>
        </w:tc>
        <w:tc>
          <w:tcPr>
            <w:tcW w:w="12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2D9AF1C7" w14:textId="77777777" w:rsidR="0096110F" w:rsidRDefault="00000000">
            <w:pPr>
              <w:jc w:val="center"/>
            </w:pPr>
            <w:r>
              <w:rPr>
                <w:b/>
                <w:bCs/>
                <w:color w:val="FFFFFF"/>
                <w:sz w:val="20"/>
                <w:szCs w:val="20"/>
              </w:rPr>
              <w:t>False Confession %</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2C3A3696" w14:textId="77777777" w:rsidR="0096110F" w:rsidRDefault="00000000">
            <w:pPr>
              <w:jc w:val="center"/>
            </w:pPr>
            <w:r>
              <w:rPr>
                <w:b/>
                <w:bCs/>
                <w:color w:val="FFFFFF"/>
                <w:sz w:val="20"/>
                <w:szCs w:val="20"/>
              </w:rPr>
              <w:t>Jurisdiction</w:t>
            </w:r>
          </w:p>
        </w:tc>
        <w:tc>
          <w:tcPr>
            <w:tcW w:w="286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504CE36B" w14:textId="77777777" w:rsidR="0096110F" w:rsidRDefault="00000000">
            <w:pPr>
              <w:jc w:val="center"/>
            </w:pPr>
            <w:r>
              <w:rPr>
                <w:b/>
                <w:bCs/>
                <w:color w:val="FFFFFF"/>
                <w:sz w:val="20"/>
                <w:szCs w:val="20"/>
              </w:rPr>
              <w:t>Notes</w:t>
            </w:r>
          </w:p>
        </w:tc>
      </w:tr>
      <w:tr w:rsidR="0096110F" w14:paraId="20A52DE3"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ED6425E" w14:textId="77777777" w:rsidR="0096110F" w:rsidRDefault="00000000">
            <w:r>
              <w:rPr>
                <w:sz w:val="20"/>
                <w:szCs w:val="20"/>
              </w:rPr>
              <w:t>Kassin &amp; Gudjonsson (2004)</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CBD06E9" w14:textId="77777777" w:rsidR="0096110F" w:rsidRDefault="00000000">
            <w:r>
              <w:rPr>
                <w:sz w:val="20"/>
                <w:szCs w:val="20"/>
              </w:rPr>
              <w:t>Exoneration database review</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ABEEEBC" w14:textId="77777777" w:rsidR="0096110F" w:rsidRDefault="00000000">
            <w:pPr>
              <w:jc w:val="center"/>
            </w:pPr>
            <w:r>
              <w:rPr>
                <w:sz w:val="20"/>
                <w:szCs w:val="20"/>
              </w:rPr>
              <w:t>14–25%</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9D99730" w14:textId="77777777" w:rsidR="0096110F" w:rsidRDefault="00000000">
            <w:r>
              <w:rPr>
                <w:sz w:val="20"/>
                <w:szCs w:val="20"/>
              </w:rPr>
              <w:t>US/UK</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6B89CDB3" w14:textId="77777777" w:rsidR="0096110F" w:rsidRDefault="00000000">
            <w:r>
              <w:rPr>
                <w:sz w:val="20"/>
                <w:szCs w:val="20"/>
              </w:rPr>
              <w:t>Range across exoneration studies available at time of review</w:t>
            </w:r>
          </w:p>
        </w:tc>
      </w:tr>
      <w:tr w:rsidR="0096110F" w14:paraId="10BA6B88"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BDE197B" w14:textId="77777777" w:rsidR="0096110F" w:rsidRDefault="00000000">
            <w:r>
              <w:rPr>
                <w:sz w:val="20"/>
                <w:szCs w:val="20"/>
              </w:rPr>
              <w:t>Gross et al. (2005)</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1284707C" w14:textId="77777777" w:rsidR="0096110F" w:rsidRDefault="00000000">
            <w:pPr>
              <w:jc w:val="center"/>
            </w:pPr>
            <w:r>
              <w:rPr>
                <w:sz w:val="20"/>
                <w:szCs w:val="20"/>
              </w:rPr>
              <w:t>340</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DDBEEA1" w14:textId="77777777" w:rsidR="0096110F" w:rsidRDefault="00000000">
            <w:pPr>
              <w:jc w:val="center"/>
            </w:pPr>
            <w:r>
              <w:rPr>
                <w:sz w:val="20"/>
                <w:szCs w:val="20"/>
              </w:rPr>
              <w:t>15.3%</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95E8F6B" w14:textId="77777777" w:rsidR="0096110F" w:rsidRDefault="00000000">
            <w:r>
              <w:rPr>
                <w:sz w:val="20"/>
                <w:szCs w:val="20"/>
              </w:rPr>
              <w:t>US</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BB10285" w14:textId="77777777" w:rsidR="0096110F" w:rsidRDefault="00000000">
            <w:r>
              <w:rPr>
                <w:sz w:val="20"/>
                <w:szCs w:val="20"/>
              </w:rPr>
              <w:t>52 of 340 exonerees had falsely confessed; disproportionate in capital cases (up to 81%)</w:t>
            </w:r>
          </w:p>
        </w:tc>
      </w:tr>
      <w:tr w:rsidR="0096110F" w14:paraId="24178F82"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ABBF142" w14:textId="77777777" w:rsidR="0096110F" w:rsidRDefault="00000000">
            <w:r>
              <w:rPr>
                <w:sz w:val="20"/>
                <w:szCs w:val="20"/>
              </w:rPr>
              <w:t>Garrett (2011) — DNA exonerations</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7235B4C" w14:textId="77777777" w:rsidR="0096110F" w:rsidRDefault="00000000">
            <w:pPr>
              <w:jc w:val="center"/>
            </w:pPr>
            <w:r>
              <w:rPr>
                <w:sz w:val="20"/>
                <w:szCs w:val="20"/>
              </w:rPr>
              <w:t>250</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2726926" w14:textId="77777777" w:rsidR="0096110F" w:rsidRDefault="00000000">
            <w:pPr>
              <w:jc w:val="center"/>
            </w:pPr>
            <w:r>
              <w:rPr>
                <w:sz w:val="20"/>
                <w:szCs w:val="20"/>
              </w:rPr>
              <w:t>27 cases (10.8%)</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A3897EC" w14:textId="77777777" w:rsidR="0096110F" w:rsidRDefault="00000000">
            <w:r>
              <w:rPr>
                <w:sz w:val="20"/>
                <w:szCs w:val="20"/>
              </w:rPr>
              <w:t>US</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0828E64B" w14:textId="77777777" w:rsidR="0096110F" w:rsidRDefault="00000000">
            <w:r>
              <w:rPr>
                <w:sz w:val="20"/>
                <w:szCs w:val="20"/>
              </w:rPr>
              <w:t>All 27 were factually innocent (DNA-confirmed). Confessions were detailed and signed.</w:t>
            </w:r>
          </w:p>
        </w:tc>
      </w:tr>
      <w:tr w:rsidR="0096110F" w14:paraId="3D59DAE9"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6E933E9" w14:textId="77777777" w:rsidR="0096110F" w:rsidRDefault="00000000">
            <w:r>
              <w:rPr>
                <w:sz w:val="20"/>
                <w:szCs w:val="20"/>
              </w:rPr>
              <w:t>National Registry of Exonerations (2023)</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B7948A3" w14:textId="77777777" w:rsidR="0096110F" w:rsidRDefault="00000000">
            <w:pPr>
              <w:jc w:val="center"/>
            </w:pPr>
            <w:r>
              <w:rPr>
                <w:sz w:val="20"/>
                <w:szCs w:val="20"/>
              </w:rPr>
              <w:t>3,300+</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6E46AA2" w14:textId="77777777" w:rsidR="0096110F" w:rsidRDefault="00000000">
            <w:pPr>
              <w:jc w:val="center"/>
            </w:pPr>
            <w:r>
              <w:rPr>
                <w:sz w:val="20"/>
                <w:szCs w:val="20"/>
              </w:rPr>
              <w:t>~12%</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3DBA563" w14:textId="77777777" w:rsidR="0096110F" w:rsidRDefault="00000000">
            <w:r>
              <w:rPr>
                <w:sz w:val="20"/>
                <w:szCs w:val="20"/>
              </w:rPr>
              <w:t>US</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C64AD50" w14:textId="77777777" w:rsidR="0096110F" w:rsidRDefault="00000000">
            <w:r>
              <w:rPr>
                <w:sz w:val="20"/>
                <w:szCs w:val="20"/>
              </w:rPr>
              <w:t>Running total. False confessions disproportionately affect juveniles (42%) and those with intellectual disabilities</w:t>
            </w:r>
          </w:p>
        </w:tc>
      </w:tr>
      <w:tr w:rsidR="0096110F" w14:paraId="4071015F"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B2FF86F" w14:textId="77777777" w:rsidR="0096110F" w:rsidRDefault="00000000">
            <w:r>
              <w:rPr>
                <w:sz w:val="20"/>
                <w:szCs w:val="20"/>
              </w:rPr>
              <w:t>Brandon (2020) — England &amp; Wales</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A5A815B" w14:textId="77777777" w:rsidR="0096110F" w:rsidRDefault="00000000">
            <w:pPr>
              <w:jc w:val="center"/>
            </w:pPr>
            <w:r>
              <w:rPr>
                <w:sz w:val="20"/>
                <w:szCs w:val="20"/>
              </w:rPr>
              <w:t>204</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D216164" w14:textId="77777777" w:rsidR="0096110F" w:rsidRDefault="00000000">
            <w:pPr>
              <w:jc w:val="center"/>
            </w:pPr>
            <w:r>
              <w:rPr>
                <w:sz w:val="20"/>
                <w:szCs w:val="20"/>
              </w:rPr>
              <w:t>~18%</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4A2114B" w14:textId="77777777" w:rsidR="0096110F" w:rsidRDefault="00000000">
            <w:r>
              <w:rPr>
                <w:sz w:val="20"/>
                <w:szCs w:val="20"/>
              </w:rPr>
              <w:t>UK</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87E4D87" w14:textId="77777777" w:rsidR="0096110F" w:rsidRDefault="00000000">
            <w:r>
              <w:rPr>
                <w:sz w:val="20"/>
                <w:szCs w:val="20"/>
              </w:rPr>
              <w:t>Criminal Cases Review Commission referrals; false confessions in approximately 37 of 204 successful appeals</w:t>
            </w:r>
          </w:p>
        </w:tc>
      </w:tr>
      <w:tr w:rsidR="0096110F" w14:paraId="5605A985"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A4E5E5F" w14:textId="77777777" w:rsidR="0096110F" w:rsidRDefault="00000000">
            <w:r>
              <w:rPr>
                <w:sz w:val="20"/>
                <w:szCs w:val="20"/>
              </w:rPr>
              <w:lastRenderedPageBreak/>
              <w:t>Gudjonsson (2003) — UK Custodial Study</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B873994" w14:textId="77777777" w:rsidR="0096110F" w:rsidRDefault="00000000">
            <w:pPr>
              <w:jc w:val="center"/>
            </w:pPr>
            <w:r>
              <w:rPr>
                <w:sz w:val="20"/>
                <w:szCs w:val="20"/>
              </w:rPr>
              <w:t>509</w:t>
            </w:r>
          </w:p>
        </w:tc>
        <w:tc>
          <w:tcPr>
            <w:tcW w:w="12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DB8BF27" w14:textId="77777777" w:rsidR="0096110F" w:rsidRDefault="00000000">
            <w:pPr>
              <w:jc w:val="center"/>
            </w:pPr>
            <w:r>
              <w:rPr>
                <w:sz w:val="20"/>
                <w:szCs w:val="20"/>
              </w:rPr>
              <w:t>11.3%</w:t>
            </w:r>
          </w:p>
        </w:tc>
        <w:tc>
          <w:tcPr>
            <w:tcW w:w="14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38A1395" w14:textId="77777777" w:rsidR="0096110F" w:rsidRDefault="00000000">
            <w:r>
              <w:rPr>
                <w:sz w:val="20"/>
                <w:szCs w:val="20"/>
              </w:rPr>
              <w:t>UK</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31E21DC" w14:textId="77777777" w:rsidR="0096110F" w:rsidRDefault="00000000">
            <w:r>
              <w:rPr>
                <w:sz w:val="20"/>
                <w:szCs w:val="20"/>
              </w:rPr>
              <w:t>Of 509 recently detained suspects, 58 reported having made a false confession at some point in their lives</w:t>
            </w:r>
          </w:p>
        </w:tc>
      </w:tr>
      <w:tr w:rsidR="0096110F" w14:paraId="26689C86"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24540CA" w14:textId="77777777" w:rsidR="0096110F" w:rsidRDefault="00000000">
            <w:r>
              <w:rPr>
                <w:sz w:val="20"/>
                <w:szCs w:val="20"/>
              </w:rPr>
              <w:t>Kassin et al. (2010) — Review</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5D34752" w14:textId="77777777" w:rsidR="0096110F" w:rsidRDefault="00000000">
            <w:r>
              <w:rPr>
                <w:sz w:val="20"/>
                <w:szCs w:val="20"/>
              </w:rPr>
              <w:t>Multiple datasets</w:t>
            </w:r>
          </w:p>
        </w:tc>
        <w:tc>
          <w:tcPr>
            <w:tcW w:w="12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563E8A3" w14:textId="77777777" w:rsidR="0096110F" w:rsidRDefault="00000000">
            <w:pPr>
              <w:jc w:val="center"/>
            </w:pPr>
            <w:r>
              <w:rPr>
                <w:sz w:val="20"/>
                <w:szCs w:val="20"/>
              </w:rPr>
              <w:t>15–25%</w:t>
            </w:r>
          </w:p>
        </w:tc>
        <w:tc>
          <w:tcPr>
            <w:tcW w:w="14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4E07281" w14:textId="77777777" w:rsidR="0096110F" w:rsidRDefault="00000000">
            <w:r>
              <w:rPr>
                <w:sz w:val="20"/>
                <w:szCs w:val="20"/>
              </w:rPr>
              <w:t>US/UK</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195AF08" w14:textId="77777777" w:rsidR="0096110F" w:rsidRDefault="00000000">
            <w:r>
              <w:rPr>
                <w:sz w:val="20"/>
                <w:szCs w:val="20"/>
              </w:rPr>
              <w:t>Consistent cross-study range; identifies Reid technique as primary risk factor</w:t>
            </w:r>
          </w:p>
        </w:tc>
      </w:tr>
      <w:tr w:rsidR="0096110F" w14:paraId="73948B41" w14:textId="77777777">
        <w:tc>
          <w:tcPr>
            <w:tcW w:w="25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1649999F" w14:textId="77777777" w:rsidR="0096110F" w:rsidRDefault="00000000">
            <w:r>
              <w:rPr>
                <w:b/>
                <w:bCs/>
                <w:sz w:val="20"/>
                <w:szCs w:val="20"/>
              </w:rPr>
              <w:t>AGGREGATE ESTIMATE</w:t>
            </w:r>
          </w:p>
        </w:tc>
        <w:tc>
          <w:tcPr>
            <w:tcW w:w="14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2097338B" w14:textId="77777777" w:rsidR="0096110F" w:rsidRDefault="00000000">
            <w:r>
              <w:rPr>
                <w:b/>
                <w:bCs/>
                <w:sz w:val="20"/>
                <w:szCs w:val="20"/>
              </w:rPr>
              <w:t>~4,500 exonerations reviewed</w:t>
            </w:r>
          </w:p>
        </w:tc>
        <w:tc>
          <w:tcPr>
            <w:tcW w:w="12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63A1199C" w14:textId="77777777" w:rsidR="0096110F" w:rsidRDefault="00000000">
            <w:pPr>
              <w:jc w:val="center"/>
            </w:pPr>
            <w:r>
              <w:rPr>
                <w:b/>
                <w:bCs/>
                <w:sz w:val="20"/>
                <w:szCs w:val="20"/>
              </w:rPr>
              <w:t>12–25%</w:t>
            </w:r>
          </w:p>
        </w:tc>
        <w:tc>
          <w:tcPr>
            <w:tcW w:w="14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366065C4" w14:textId="77777777" w:rsidR="0096110F" w:rsidRDefault="00000000">
            <w:r>
              <w:rPr>
                <w:b/>
                <w:bCs/>
                <w:sz w:val="20"/>
                <w:szCs w:val="20"/>
              </w:rPr>
              <w:t>US / UK / AU-comparable</w:t>
            </w:r>
          </w:p>
        </w:tc>
        <w:tc>
          <w:tcPr>
            <w:tcW w:w="286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2B2CDFDA" w14:textId="77777777" w:rsidR="0096110F" w:rsidRDefault="00000000">
            <w:r>
              <w:rPr>
                <w:b/>
                <w:bCs/>
                <w:sz w:val="20"/>
                <w:szCs w:val="20"/>
              </w:rPr>
              <w:t>Conservative estimate: 1-in-8 convictions resting on confession involves a false confession. Upper estimate: 1-in-4.</w:t>
            </w:r>
          </w:p>
        </w:tc>
      </w:tr>
    </w:tbl>
    <w:p w14:paraId="24AF2D62" w14:textId="77777777" w:rsidR="0096110F" w:rsidRDefault="0096110F">
      <w:pPr>
        <w:spacing w:line="480" w:lineRule="auto"/>
      </w:pPr>
    </w:p>
    <w:p w14:paraId="6F6CCA50" w14:textId="77777777" w:rsidR="0096110F" w:rsidRDefault="00000000">
      <w:pPr>
        <w:pStyle w:val="Heading2"/>
      </w:pPr>
      <w:r>
        <w:t>3.2 What These Numbers Mean</w:t>
      </w:r>
    </w:p>
    <w:p w14:paraId="3B9A445E" w14:textId="77777777" w:rsidR="0096110F" w:rsidRDefault="00000000">
      <w:pPr>
        <w:spacing w:line="480" w:lineRule="auto"/>
        <w:ind w:firstLine="720"/>
        <w:jc w:val="both"/>
      </w:pPr>
      <w:r>
        <w:t>The conservative aggregate estimate — that 12–25% of exonerations involve false confessions — should be understood in the context of what exoneration databases capture. They capture only cases where (a) the conviction occurred, (b) the defendant survived long enough to pursue post-conviction remedies, (c) exculpatory evidence was discovered or preserved, and (d) the exoneration was successful. Each of these conditions filters out cases. The documented false confession rate is therefore a floor, not a ceiling: a minimum estimate of the system's output of constructed guilt, not a comprehensive one.</w:t>
      </w:r>
    </w:p>
    <w:p w14:paraId="283D93CE" w14:textId="77777777" w:rsidR="0096110F" w:rsidRDefault="00000000">
      <w:pPr>
        <w:spacing w:line="480" w:lineRule="auto"/>
        <w:ind w:firstLine="720"/>
        <w:jc w:val="both"/>
      </w:pPr>
      <w:r>
        <w:t>The disproportionate representation of juveniles (42% of false confessions involve minors in some datasets) and persons with intellectual disabilities is not anomalous. It is precisely what the interrogative suggestibility research would predict: populations with higher baseline suggestibility, reduced capacity for the strategic self-protection that interrogation demands, and heightened responsiveness to the social approval mechanisms that the Reid Technique deploys, will produce higher rates of false confession. The system produces guilty narratives most efficiently from those least equipped to resist their construction.</w:t>
      </w:r>
    </w:p>
    <w:p w14:paraId="5D5C0E84" w14:textId="77777777" w:rsidR="0096110F" w:rsidRDefault="00000000">
      <w:pPr>
        <w:spacing w:line="480" w:lineRule="auto"/>
        <w:ind w:firstLine="720"/>
        <w:jc w:val="both"/>
      </w:pPr>
      <w:r>
        <w:lastRenderedPageBreak/>
        <w:t>The Garrett (2011) DNA exoneration data warrants particular attention because it eliminates the evidentiary ambiguity that affects other exoneration datasets. These are not cases where guilt was merely disputed; they are cases where post-conviction DNA testing established factual innocence beyond scientific dispute. Of the first 250 such cases, 27 individuals — factually innocent people — had provided detailed, signed confessions. Their confessions were, in the full technical sense, fabrications: accounts of events that did not happen, attributed to people who did not do them, produced by the system's ordinary operation.</w:t>
      </w:r>
    </w:p>
    <w:p w14:paraId="2FA5BF23" w14:textId="77777777" w:rsidR="0096110F" w:rsidRDefault="0096110F">
      <w:pPr>
        <w:spacing w:line="480" w:lineRule="auto"/>
      </w:pPr>
    </w:p>
    <w:p w14:paraId="04A26BBF" w14:textId="77777777" w:rsidR="0096110F" w:rsidRDefault="0096110F">
      <w:pPr>
        <w:pageBreakBefore/>
      </w:pPr>
    </w:p>
    <w:p w14:paraId="660C438B" w14:textId="77777777" w:rsidR="0096110F" w:rsidRDefault="00000000">
      <w:pPr>
        <w:pStyle w:val="Heading1"/>
      </w:pPr>
      <w:r>
        <w:t>Section 4: The Pre-Interrogation Body — Suggestibility Under Detention</w:t>
      </w:r>
    </w:p>
    <w:p w14:paraId="7F881E6F" w14:textId="77777777" w:rsidR="0096110F" w:rsidRDefault="00000000">
      <w:pPr>
        <w:pStyle w:val="Heading2"/>
      </w:pPr>
      <w:r>
        <w:t>4.1 Overview</w:t>
      </w:r>
    </w:p>
    <w:p w14:paraId="24047A98" w14:textId="77777777" w:rsidR="0096110F" w:rsidRDefault="00000000">
      <w:pPr>
        <w:spacing w:line="480" w:lineRule="auto"/>
        <w:ind w:firstLine="720"/>
        <w:jc w:val="both"/>
      </w:pPr>
      <w:r>
        <w:t>The three preceding pillars address the mechanisms and outputs of the interrogation and evidentiary process. This section addresses the prior condition: the state of the person who enters the interrogation room following arrest and pre-trial detention. The legal doctrine of voluntariness assumes a person of baseline cognitive capacity and autonomous agency. The empirical literature on stress, sleep deprivation, and interrogative suggestibility establishes that the pre-interrogation sequence systematically degrades the conditions that voluntariness doctrine presupposes.</w:t>
      </w:r>
    </w:p>
    <w:p w14:paraId="5ADFCCD8" w14:textId="77777777" w:rsidR="0096110F" w:rsidRDefault="0096110F">
      <w:pPr>
        <w:spacing w:line="480" w:lineRule="auto"/>
      </w:pPr>
    </w:p>
    <w:p w14:paraId="56C25A14" w14:textId="77777777" w:rsidR="0096110F" w:rsidRDefault="00000000">
      <w:pPr>
        <w:spacing w:before="240" w:after="120"/>
        <w:jc w:val="center"/>
      </w:pPr>
      <w:r>
        <w:rPr>
          <w:b/>
          <w:bCs/>
          <w:i/>
          <w:iCs/>
          <w:sz w:val="22"/>
          <w:szCs w:val="22"/>
        </w:rPr>
        <w:t>Table 4: Suggestibility Elevation Under Pre-Interrogation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600"/>
        <w:gridCol w:w="1600"/>
        <w:gridCol w:w="3660"/>
      </w:tblGrid>
      <w:tr w:rsidR="0096110F" w14:paraId="08A225F1" w14:textId="77777777">
        <w:tc>
          <w:tcPr>
            <w:tcW w:w="25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9068269" w14:textId="77777777" w:rsidR="0096110F" w:rsidRDefault="00000000">
            <w:pPr>
              <w:jc w:val="center"/>
            </w:pPr>
            <w:r>
              <w:rPr>
                <w:b/>
                <w:bCs/>
                <w:color w:val="FFFFFF"/>
                <w:sz w:val="20"/>
                <w:szCs w:val="20"/>
              </w:rPr>
              <w:t>Study</w:t>
            </w:r>
          </w:p>
        </w:tc>
        <w:tc>
          <w:tcPr>
            <w:tcW w:w="16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09C5EB7C" w14:textId="77777777" w:rsidR="0096110F" w:rsidRDefault="00000000">
            <w:pPr>
              <w:jc w:val="center"/>
            </w:pPr>
            <w:r>
              <w:rPr>
                <w:b/>
                <w:bCs/>
                <w:color w:val="FFFFFF"/>
                <w:sz w:val="20"/>
                <w:szCs w:val="20"/>
              </w:rPr>
              <w:t>Condition</w:t>
            </w:r>
          </w:p>
        </w:tc>
        <w:tc>
          <w:tcPr>
            <w:tcW w:w="16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08E7B8C3" w14:textId="77777777" w:rsidR="0096110F" w:rsidRDefault="00000000">
            <w:pPr>
              <w:jc w:val="center"/>
            </w:pPr>
            <w:r>
              <w:rPr>
                <w:b/>
                <w:bCs/>
                <w:color w:val="FFFFFF"/>
                <w:sz w:val="20"/>
                <w:szCs w:val="20"/>
              </w:rPr>
              <w:t>Suggestibility Increase</w:t>
            </w:r>
          </w:p>
        </w:tc>
        <w:tc>
          <w:tcPr>
            <w:tcW w:w="366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3CA7B39B" w14:textId="77777777" w:rsidR="0096110F" w:rsidRDefault="00000000">
            <w:pPr>
              <w:jc w:val="center"/>
            </w:pPr>
            <w:r>
              <w:rPr>
                <w:b/>
                <w:bCs/>
                <w:color w:val="FFFFFF"/>
                <w:sz w:val="20"/>
                <w:szCs w:val="20"/>
              </w:rPr>
              <w:t>Mechanism</w:t>
            </w:r>
          </w:p>
        </w:tc>
      </w:tr>
      <w:tr w:rsidR="0096110F" w14:paraId="3AB8A1B6"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F963FDA" w14:textId="77777777" w:rsidR="0096110F" w:rsidRDefault="00000000">
            <w:r>
              <w:rPr>
                <w:sz w:val="20"/>
                <w:szCs w:val="20"/>
              </w:rPr>
              <w:t>Gudjonsson &amp; Clark (1986)</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21C7BF7" w14:textId="77777777" w:rsidR="0096110F" w:rsidRDefault="00000000">
            <w:r>
              <w:rPr>
                <w:sz w:val="20"/>
                <w:szCs w:val="20"/>
              </w:rPr>
              <w:t>Anxiety induction</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9CC908B" w14:textId="77777777" w:rsidR="0096110F" w:rsidRDefault="00000000">
            <w:pPr>
              <w:jc w:val="center"/>
            </w:pPr>
            <w:r>
              <w:rPr>
                <w:sz w:val="20"/>
                <w:szCs w:val="20"/>
              </w:rPr>
              <w:t>+38%</w:t>
            </w:r>
          </w:p>
        </w:tc>
        <w:tc>
          <w:tcPr>
            <w:tcW w:w="36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7D1E7DC" w14:textId="77777777" w:rsidR="0096110F" w:rsidRDefault="00000000">
            <w:r>
              <w:rPr>
                <w:sz w:val="20"/>
                <w:szCs w:val="20"/>
              </w:rPr>
              <w:t>Elevated anxiety increases both yield and shift components of suggestibility. Effect consistent across populations.</w:t>
            </w:r>
          </w:p>
        </w:tc>
      </w:tr>
      <w:tr w:rsidR="0096110F" w14:paraId="1C5A702E"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5820A532" w14:textId="77777777" w:rsidR="0096110F" w:rsidRDefault="00000000">
            <w:r>
              <w:rPr>
                <w:sz w:val="20"/>
                <w:szCs w:val="20"/>
              </w:rPr>
              <w:t>Bain et al. (2014)</w:t>
            </w:r>
          </w:p>
        </w:tc>
        <w:tc>
          <w:tcPr>
            <w:tcW w:w="1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76E6672" w14:textId="77777777" w:rsidR="0096110F" w:rsidRDefault="00000000">
            <w:r>
              <w:rPr>
                <w:sz w:val="20"/>
                <w:szCs w:val="20"/>
              </w:rPr>
              <w:t>Sleep deprivation</w:t>
            </w:r>
          </w:p>
        </w:tc>
        <w:tc>
          <w:tcPr>
            <w:tcW w:w="1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15D2A35" w14:textId="77777777" w:rsidR="0096110F" w:rsidRDefault="00000000">
            <w:pPr>
              <w:jc w:val="center"/>
            </w:pPr>
            <w:r>
              <w:rPr>
                <w:sz w:val="20"/>
                <w:szCs w:val="20"/>
              </w:rPr>
              <w:t>+56%</w:t>
            </w:r>
          </w:p>
        </w:tc>
        <w:tc>
          <w:tcPr>
            <w:tcW w:w="36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E292AC4" w14:textId="77777777" w:rsidR="0096110F" w:rsidRDefault="00000000">
            <w:r>
              <w:rPr>
                <w:sz w:val="20"/>
                <w:szCs w:val="20"/>
              </w:rPr>
              <w:t>One night of sleep deprivation produced dramatic increases in Gudjonsson Suggestibility Scale scores</w:t>
            </w:r>
          </w:p>
        </w:tc>
      </w:tr>
      <w:tr w:rsidR="0096110F" w14:paraId="7A0CEC9F"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48E596B" w14:textId="77777777" w:rsidR="0096110F" w:rsidRDefault="00000000">
            <w:r>
              <w:rPr>
                <w:sz w:val="20"/>
                <w:szCs w:val="20"/>
              </w:rPr>
              <w:t>Starcke &amp; Brand (2012) — Review</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4094D5D" w14:textId="77777777" w:rsidR="0096110F" w:rsidRDefault="00000000">
            <w:r>
              <w:rPr>
                <w:sz w:val="20"/>
                <w:szCs w:val="20"/>
              </w:rPr>
              <w:t>Acute stress</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3E9CD6A" w14:textId="77777777" w:rsidR="0096110F" w:rsidRDefault="00000000">
            <w:pPr>
              <w:jc w:val="center"/>
            </w:pPr>
            <w:r>
              <w:rPr>
                <w:sz w:val="20"/>
                <w:szCs w:val="20"/>
              </w:rPr>
              <w:t>PFC impairment: significant</w:t>
            </w:r>
          </w:p>
        </w:tc>
        <w:tc>
          <w:tcPr>
            <w:tcW w:w="36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B7A333F" w14:textId="77777777" w:rsidR="0096110F" w:rsidRDefault="00000000">
            <w:r>
              <w:rPr>
                <w:sz w:val="20"/>
                <w:szCs w:val="20"/>
              </w:rPr>
              <w:t>Stress reliably impairs prefrontal cortex function — the cognitive architecture of rational deliberation and resistance to suggestion</w:t>
            </w:r>
          </w:p>
        </w:tc>
      </w:tr>
      <w:tr w:rsidR="0096110F" w14:paraId="165ED9E5"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5CDE8FD0" w14:textId="77777777" w:rsidR="0096110F" w:rsidRDefault="00000000">
            <w:r>
              <w:rPr>
                <w:sz w:val="20"/>
                <w:szCs w:val="20"/>
              </w:rPr>
              <w:t>Kassin et al. (2010)</w:t>
            </w:r>
          </w:p>
        </w:tc>
        <w:tc>
          <w:tcPr>
            <w:tcW w:w="1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14008BC" w14:textId="77777777" w:rsidR="0096110F" w:rsidRDefault="00000000">
            <w:r>
              <w:rPr>
                <w:sz w:val="20"/>
                <w:szCs w:val="20"/>
              </w:rPr>
              <w:t>Extended detention</w:t>
            </w:r>
          </w:p>
        </w:tc>
        <w:tc>
          <w:tcPr>
            <w:tcW w:w="16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09BFCE5" w14:textId="77777777" w:rsidR="0096110F" w:rsidRDefault="00000000">
            <w:pPr>
              <w:jc w:val="center"/>
            </w:pPr>
            <w:r>
              <w:rPr>
                <w:sz w:val="20"/>
                <w:szCs w:val="20"/>
              </w:rPr>
              <w:t>+29–44%</w:t>
            </w:r>
          </w:p>
        </w:tc>
        <w:tc>
          <w:tcPr>
            <w:tcW w:w="36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B41CCE9" w14:textId="77777777" w:rsidR="0096110F" w:rsidRDefault="00000000">
            <w:r>
              <w:rPr>
                <w:sz w:val="20"/>
                <w:szCs w:val="20"/>
              </w:rPr>
              <w:t>Longer pre-interrogation detention correlates with higher rates of confession and false confession across datasets</w:t>
            </w:r>
          </w:p>
        </w:tc>
      </w:tr>
      <w:tr w:rsidR="0096110F" w14:paraId="6D2DD808"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FD9D219" w14:textId="77777777" w:rsidR="0096110F" w:rsidRDefault="00000000">
            <w:r>
              <w:rPr>
                <w:sz w:val="20"/>
                <w:szCs w:val="20"/>
              </w:rPr>
              <w:t>Gudjonsson (2003) — GSS Norms</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25DF3DA" w14:textId="77777777" w:rsidR="0096110F" w:rsidRDefault="00000000">
            <w:r>
              <w:rPr>
                <w:sz w:val="20"/>
                <w:szCs w:val="20"/>
              </w:rPr>
              <w:t>Custodial setting vs. neutral</w:t>
            </w:r>
          </w:p>
        </w:tc>
        <w:tc>
          <w:tcPr>
            <w:tcW w:w="16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960EC2E" w14:textId="77777777" w:rsidR="0096110F" w:rsidRDefault="00000000">
            <w:pPr>
              <w:jc w:val="center"/>
            </w:pPr>
            <w:r>
              <w:rPr>
                <w:sz w:val="20"/>
                <w:szCs w:val="20"/>
              </w:rPr>
              <w:t>Yield: +31%; Shift: +42%</w:t>
            </w:r>
          </w:p>
        </w:tc>
        <w:tc>
          <w:tcPr>
            <w:tcW w:w="36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36516F76" w14:textId="77777777" w:rsidR="0096110F" w:rsidRDefault="00000000">
            <w:r>
              <w:rPr>
                <w:sz w:val="20"/>
                <w:szCs w:val="20"/>
              </w:rPr>
              <w:t>Custody itself — irrespective of explicit pressure — elevates both components of suggestibility significantly</w:t>
            </w:r>
          </w:p>
        </w:tc>
      </w:tr>
      <w:tr w:rsidR="0096110F" w14:paraId="0FE8C95D" w14:textId="77777777">
        <w:tc>
          <w:tcPr>
            <w:tcW w:w="25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12C5A6C4" w14:textId="77777777" w:rsidR="0096110F" w:rsidRDefault="00000000">
            <w:r>
              <w:rPr>
                <w:b/>
                <w:bCs/>
                <w:sz w:val="20"/>
                <w:szCs w:val="20"/>
              </w:rPr>
              <w:lastRenderedPageBreak/>
              <w:t>COMPOUND EFFECT ESTIMATE</w:t>
            </w:r>
          </w:p>
        </w:tc>
        <w:tc>
          <w:tcPr>
            <w:tcW w:w="16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439B6A6B" w14:textId="77777777" w:rsidR="0096110F" w:rsidRDefault="00000000">
            <w:r>
              <w:rPr>
                <w:b/>
                <w:bCs/>
                <w:sz w:val="20"/>
                <w:szCs w:val="20"/>
              </w:rPr>
              <w:t>Arrest + detention + sleep disruption + isolation</w:t>
            </w:r>
          </w:p>
        </w:tc>
        <w:tc>
          <w:tcPr>
            <w:tcW w:w="160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3C4E7412" w14:textId="77777777" w:rsidR="0096110F" w:rsidRDefault="00000000">
            <w:pPr>
              <w:jc w:val="center"/>
            </w:pPr>
            <w:r>
              <w:rPr>
                <w:b/>
                <w:bCs/>
                <w:sz w:val="20"/>
                <w:szCs w:val="20"/>
              </w:rPr>
              <w:t>+80–120%</w:t>
            </w:r>
          </w:p>
        </w:tc>
        <w:tc>
          <w:tcPr>
            <w:tcW w:w="3660" w:type="dxa"/>
            <w:tcBorders>
              <w:top w:val="single" w:sz="4" w:space="0" w:color="2C3E50"/>
              <w:left w:val="single" w:sz="4" w:space="0" w:color="2C3E50"/>
              <w:bottom w:val="single" w:sz="4" w:space="0" w:color="2C3E50"/>
              <w:right w:val="single" w:sz="4" w:space="0" w:color="2C3E50"/>
            </w:tcBorders>
            <w:shd w:val="clear" w:color="auto" w:fill="D5E8D5"/>
            <w:tcMar>
              <w:top w:w="80" w:type="dxa"/>
              <w:left w:w="120" w:type="dxa"/>
              <w:bottom w:w="80" w:type="dxa"/>
              <w:right w:w="120" w:type="dxa"/>
            </w:tcMar>
          </w:tcPr>
          <w:p w14:paraId="28C7B147" w14:textId="77777777" w:rsidR="0096110F" w:rsidRDefault="00000000">
            <w:r>
              <w:rPr>
                <w:b/>
                <w:bCs/>
                <w:sz w:val="20"/>
                <w:szCs w:val="20"/>
              </w:rPr>
              <w:t>The compounded pre-interrogation sequence plausibly doubles to more than doubles baseline suggestibility — rendering the concept of voluntary statement empirically incoherent for this population.</w:t>
            </w:r>
          </w:p>
        </w:tc>
      </w:tr>
    </w:tbl>
    <w:p w14:paraId="70819CB8" w14:textId="77777777" w:rsidR="0096110F" w:rsidRDefault="0096110F">
      <w:pPr>
        <w:spacing w:line="480" w:lineRule="auto"/>
      </w:pPr>
    </w:p>
    <w:p w14:paraId="376637EE" w14:textId="77777777" w:rsidR="0096110F" w:rsidRDefault="00000000">
      <w:pPr>
        <w:pStyle w:val="Heading2"/>
      </w:pPr>
      <w:r>
        <w:t>4.2 Compounding and Voluntariness</w:t>
      </w:r>
    </w:p>
    <w:p w14:paraId="677C6D51" w14:textId="77777777" w:rsidR="0096110F" w:rsidRDefault="00000000">
      <w:pPr>
        <w:spacing w:line="480" w:lineRule="auto"/>
        <w:ind w:firstLine="720"/>
        <w:jc w:val="both"/>
      </w:pPr>
      <w:r>
        <w:t>The critical feature of the pre-interrogation condition is that its constituent stressors are not additive but compounding. A person who has been arrested (acute stress response: HPA activation, PFC impairment), deprived of sleep (cognitive impairment equivalent to moderate intoxication per Harrison &amp; Horne, 2000), stripped of identity materials (Goffman's mortification: impaired sense of agency and authority), and isolated (threat-system activation, heightened need for social approval) presents not with a 38% elevation in suggestibility, nor a 56% elevation, but with an accumulation of these effects whose combined magnitude the available literature suggests is in the range of 80–120% above baseline.</w:t>
      </w:r>
    </w:p>
    <w:p w14:paraId="2B7A9DAF" w14:textId="77777777" w:rsidR="0096110F" w:rsidRDefault="00000000">
      <w:pPr>
        <w:spacing w:line="480" w:lineRule="auto"/>
        <w:ind w:firstLine="720"/>
        <w:jc w:val="both"/>
      </w:pPr>
      <w:r>
        <w:t>This is not a precise figure, and it is not offered as one. The point is ordinal and structural: the pre-interrogation sequence doubles or more than doubles the person's susceptibility to the linguistic and social influence that the interrogation will deploy. A voluntariness analysis conducted without reference to this compound baseline effect is not assessing whether the confession was voluntary in any substantively meaningful sense. It is performing a legal ritual whose outcome is determined by factors the analysis does not examine.</w:t>
      </w:r>
    </w:p>
    <w:p w14:paraId="1A001393" w14:textId="77777777" w:rsidR="0096110F" w:rsidRDefault="00000000">
      <w:pPr>
        <w:spacing w:line="480" w:lineRule="auto"/>
        <w:ind w:firstLine="720"/>
        <w:jc w:val="both"/>
      </w:pPr>
      <w:r>
        <w:t xml:space="preserve">The Gudjonsson (2003) finding that custody itself — independent of any specific interrogation tactic — elevates both yield and shift components of suggestibility by 31% and 42% respectively, is particularly significant for the Australian doctrinal context. Australian courts </w:t>
      </w:r>
      <w:r>
        <w:lastRenderedPageBreak/>
        <w:t>conducting voluntariness assessments focus almost exclusively on what occurred in the interview room. The empirical evidence establishes that the most significant determinant of the interview's coercive character is the condition of the person who enters it — a condition produced by the hours preceding the interview, which the voluntariness analysis treats as legally irrelevant.</w:t>
      </w:r>
    </w:p>
    <w:p w14:paraId="0FFBAF72" w14:textId="77777777" w:rsidR="0096110F" w:rsidRDefault="0096110F">
      <w:pPr>
        <w:spacing w:line="480" w:lineRule="auto"/>
      </w:pPr>
    </w:p>
    <w:p w14:paraId="45864F01" w14:textId="77777777" w:rsidR="0096110F" w:rsidRDefault="0096110F">
      <w:pPr>
        <w:pageBreakBefore/>
      </w:pPr>
    </w:p>
    <w:p w14:paraId="4C91A1BE" w14:textId="77777777" w:rsidR="0096110F" w:rsidRDefault="00000000">
      <w:pPr>
        <w:pStyle w:val="Heading1"/>
      </w:pPr>
      <w:r>
        <w:t>Section 5: Convergent Validity — The Four Pillars Together</w:t>
      </w:r>
    </w:p>
    <w:p w14:paraId="09F6E1B3" w14:textId="77777777" w:rsidR="0096110F" w:rsidRDefault="00000000">
      <w:pPr>
        <w:pStyle w:val="Heading2"/>
      </w:pPr>
      <w:r>
        <w:t>5.1 What Convergent Validity Means</w:t>
      </w:r>
    </w:p>
    <w:p w14:paraId="5F3D442D" w14:textId="77777777" w:rsidR="0096110F" w:rsidRDefault="00000000">
      <w:pPr>
        <w:spacing w:line="480" w:lineRule="auto"/>
        <w:ind w:firstLine="720"/>
        <w:jc w:val="both"/>
      </w:pPr>
      <w:r>
        <w:t>In meta-analytic methodology, convergent validity refers to the agreement of independent measurement approaches on the same underlying construct. When multiple methodologically distinct research programmes, studying different variables through different methods in different populations, converge on the same conclusion, that conclusion achieves a degree of evidentiary support that no single study can provide. The construction thesis benefits from precisely this structure.</w:t>
      </w:r>
    </w:p>
    <w:p w14:paraId="4C6D5C5F" w14:textId="77777777" w:rsidR="0096110F" w:rsidRDefault="00000000">
      <w:pPr>
        <w:spacing w:line="480" w:lineRule="auto"/>
        <w:ind w:firstLine="720"/>
        <w:jc w:val="both"/>
      </w:pPr>
      <w:r>
        <w:t>Table 5 presents the convergence summary: each pillar independently tests a component of the thesis, each yields results consistent with it, and together they close the logical space available to an alternative explanation.</w:t>
      </w:r>
    </w:p>
    <w:p w14:paraId="1A7D832D" w14:textId="77777777" w:rsidR="0096110F" w:rsidRDefault="0096110F">
      <w:pPr>
        <w:spacing w:line="480" w:lineRule="auto"/>
      </w:pPr>
    </w:p>
    <w:p w14:paraId="5C1E26F1" w14:textId="77777777" w:rsidR="0096110F" w:rsidRDefault="00000000">
      <w:pPr>
        <w:spacing w:before="240" w:after="120"/>
        <w:jc w:val="center"/>
      </w:pPr>
      <w:r>
        <w:rPr>
          <w:b/>
          <w:bCs/>
          <w:i/>
          <w:iCs/>
          <w:sz w:val="22"/>
          <w:szCs w:val="22"/>
        </w:rPr>
        <w:t>Table 5: Convergent Validity — Four-Pillar Synthesis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000"/>
        <w:gridCol w:w="2000"/>
        <w:gridCol w:w="2860"/>
      </w:tblGrid>
      <w:tr w:rsidR="0096110F" w14:paraId="76A424CE" w14:textId="77777777">
        <w:tc>
          <w:tcPr>
            <w:tcW w:w="25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0BC8E457" w14:textId="77777777" w:rsidR="0096110F" w:rsidRDefault="00000000">
            <w:pPr>
              <w:jc w:val="center"/>
            </w:pPr>
            <w:r>
              <w:rPr>
                <w:b/>
                <w:bCs/>
                <w:color w:val="FFFFFF"/>
                <w:sz w:val="20"/>
                <w:szCs w:val="20"/>
              </w:rPr>
              <w:t>Analytical Pillar</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34EC8997" w14:textId="77777777" w:rsidR="0096110F" w:rsidRDefault="00000000">
            <w:pPr>
              <w:jc w:val="center"/>
            </w:pPr>
            <w:r>
              <w:rPr>
                <w:b/>
                <w:bCs/>
                <w:color w:val="FFFFFF"/>
                <w:sz w:val="20"/>
                <w:szCs w:val="20"/>
              </w:rPr>
              <w:t>Key Statistic</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7167313B" w14:textId="77777777" w:rsidR="0096110F" w:rsidRDefault="00000000">
            <w:pPr>
              <w:jc w:val="center"/>
            </w:pPr>
            <w:r>
              <w:rPr>
                <w:b/>
                <w:bCs/>
                <w:color w:val="FFFFFF"/>
                <w:sz w:val="20"/>
                <w:szCs w:val="20"/>
              </w:rPr>
              <w:t>Null Hypothesis</w:t>
            </w:r>
          </w:p>
        </w:tc>
        <w:tc>
          <w:tcPr>
            <w:tcW w:w="2860" w:type="dxa"/>
            <w:tcBorders>
              <w:top w:val="single" w:sz="4" w:space="0" w:color="2C3E50"/>
              <w:left w:val="single" w:sz="4" w:space="0" w:color="2C3E50"/>
              <w:bottom w:val="single" w:sz="4" w:space="0" w:color="2C3E50"/>
              <w:right w:val="single" w:sz="4" w:space="0" w:color="2C3E50"/>
            </w:tcBorders>
            <w:shd w:val="clear" w:color="auto" w:fill="2C3E50"/>
            <w:tcMar>
              <w:top w:w="100" w:type="dxa"/>
              <w:left w:w="120" w:type="dxa"/>
              <w:bottom w:w="100" w:type="dxa"/>
              <w:right w:w="120" w:type="dxa"/>
            </w:tcMar>
          </w:tcPr>
          <w:p w14:paraId="1ED89A4C" w14:textId="77777777" w:rsidR="0096110F" w:rsidRDefault="00000000">
            <w:pPr>
              <w:jc w:val="center"/>
            </w:pPr>
            <w:r>
              <w:rPr>
                <w:b/>
                <w:bCs/>
                <w:color w:val="FFFFFF"/>
                <w:sz w:val="20"/>
                <w:szCs w:val="20"/>
              </w:rPr>
              <w:t>Conclusion</w:t>
            </w:r>
          </w:p>
        </w:tc>
      </w:tr>
      <w:tr w:rsidR="0096110F" w14:paraId="10A539C2"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224F2D1" w14:textId="77777777" w:rsidR="0096110F" w:rsidRDefault="00000000">
            <w:r>
              <w:rPr>
                <w:sz w:val="20"/>
                <w:szCs w:val="20"/>
              </w:rPr>
              <w:t>I. Deception Detection</w:t>
            </w:r>
          </w:p>
        </w:tc>
        <w:tc>
          <w:tcPr>
            <w:tcW w:w="20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E83F8B2" w14:textId="77777777" w:rsidR="0096110F" w:rsidRDefault="00000000">
            <w:r>
              <w:rPr>
                <w:sz w:val="20"/>
                <w:szCs w:val="20"/>
              </w:rPr>
              <w:t>Accuracy: 54.1% (CI: 53.6–54.6)</w:t>
            </w:r>
          </w:p>
        </w:tc>
        <w:tc>
          <w:tcPr>
            <w:tcW w:w="20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17E8840E" w14:textId="77777777" w:rsidR="0096110F" w:rsidRDefault="00000000">
            <w:r>
              <w:rPr>
                <w:sz w:val="20"/>
                <w:szCs w:val="20"/>
              </w:rPr>
              <w:t>Accuracy = 50% (chance)</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E1EDA30" w14:textId="77777777" w:rsidR="0096110F" w:rsidRDefault="00000000">
            <w:r>
              <w:rPr>
                <w:sz w:val="20"/>
                <w:szCs w:val="20"/>
              </w:rPr>
              <w:t>REJECT null. BUT: effect size is trivially small (4.1pp advantage over chance). System operates near-random.</w:t>
            </w:r>
          </w:p>
        </w:tc>
      </w:tr>
      <w:tr w:rsidR="0096110F" w14:paraId="01D18B23"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2DA5848B" w14:textId="77777777" w:rsidR="0096110F" w:rsidRDefault="00000000">
            <w:r>
              <w:rPr>
                <w:sz w:val="20"/>
                <w:szCs w:val="20"/>
              </w:rPr>
              <w:t>II. Memory Distortion</w:t>
            </w:r>
          </w:p>
        </w:tc>
        <w:tc>
          <w:tcPr>
            <w:tcW w:w="20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41DAA3C2" w14:textId="77777777" w:rsidR="0096110F" w:rsidRDefault="00000000">
            <w:r>
              <w:rPr>
                <w:sz w:val="20"/>
                <w:szCs w:val="20"/>
              </w:rPr>
              <w:t>d = 0.72; ~22% false memory rate</w:t>
            </w:r>
          </w:p>
        </w:tc>
        <w:tc>
          <w:tcPr>
            <w:tcW w:w="20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7BC92C74" w14:textId="77777777" w:rsidR="0096110F" w:rsidRDefault="00000000">
            <w:r>
              <w:rPr>
                <w:sz w:val="20"/>
                <w:szCs w:val="20"/>
              </w:rPr>
              <w:t>Language does not affect memory</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FBB5C51" w14:textId="77777777" w:rsidR="0096110F" w:rsidRDefault="00000000">
            <w:r>
              <w:rPr>
                <w:sz w:val="20"/>
                <w:szCs w:val="20"/>
              </w:rPr>
              <w:t>REJECT null. Large effect. 1-in-5 memories altered by linguistic choice alone. Testimony is language-dependent reconstruction.</w:t>
            </w:r>
          </w:p>
        </w:tc>
      </w:tr>
      <w:tr w:rsidR="0096110F" w14:paraId="3F604E79" w14:textId="77777777">
        <w:tc>
          <w:tcPr>
            <w:tcW w:w="25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5ED36CFE" w14:textId="77777777" w:rsidR="0096110F" w:rsidRDefault="00000000">
            <w:r>
              <w:rPr>
                <w:sz w:val="20"/>
                <w:szCs w:val="20"/>
              </w:rPr>
              <w:t>III. False Confession Rates</w:t>
            </w:r>
          </w:p>
        </w:tc>
        <w:tc>
          <w:tcPr>
            <w:tcW w:w="20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70093DB7" w14:textId="77777777" w:rsidR="0096110F" w:rsidRDefault="00000000">
            <w:r>
              <w:rPr>
                <w:sz w:val="20"/>
                <w:szCs w:val="20"/>
              </w:rPr>
              <w:t>12–25% of exonerations involve false confessions</w:t>
            </w:r>
          </w:p>
        </w:tc>
        <w:tc>
          <w:tcPr>
            <w:tcW w:w="200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2D918679" w14:textId="77777777" w:rsidR="0096110F" w:rsidRDefault="00000000">
            <w:r>
              <w:rPr>
                <w:sz w:val="20"/>
                <w:szCs w:val="20"/>
              </w:rPr>
              <w:t>Confession rate = error rate (no systemic bias)</w:t>
            </w:r>
          </w:p>
        </w:tc>
        <w:tc>
          <w:tcPr>
            <w:tcW w:w="2860" w:type="dxa"/>
            <w:tcBorders>
              <w:top w:val="single" w:sz="4" w:space="0" w:color="2C3E50"/>
              <w:left w:val="single" w:sz="4" w:space="0" w:color="2C3E50"/>
              <w:bottom w:val="single" w:sz="4" w:space="0" w:color="2C3E50"/>
              <w:right w:val="single" w:sz="4" w:space="0" w:color="2C3E50"/>
            </w:tcBorders>
            <w:shd w:val="clear" w:color="auto" w:fill="F2F4F8"/>
            <w:tcMar>
              <w:top w:w="80" w:type="dxa"/>
              <w:left w:w="120" w:type="dxa"/>
              <w:bottom w:w="80" w:type="dxa"/>
              <w:right w:w="120" w:type="dxa"/>
            </w:tcMar>
          </w:tcPr>
          <w:p w14:paraId="42E0A680" w14:textId="77777777" w:rsidR="0096110F" w:rsidRDefault="00000000">
            <w:r>
              <w:rPr>
                <w:sz w:val="20"/>
                <w:szCs w:val="20"/>
              </w:rPr>
              <w:t xml:space="preserve">REJECT null. Confession is not a reliable indicator of guilt. System produces false confessions at statistically </w:t>
            </w:r>
            <w:r>
              <w:rPr>
                <w:sz w:val="20"/>
                <w:szCs w:val="20"/>
              </w:rPr>
              <w:lastRenderedPageBreak/>
              <w:t>significant and practically meaningful rates.</w:t>
            </w:r>
          </w:p>
        </w:tc>
      </w:tr>
      <w:tr w:rsidR="0096110F" w14:paraId="5D24565F" w14:textId="77777777">
        <w:tc>
          <w:tcPr>
            <w:tcW w:w="25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6CAF46DB" w14:textId="77777777" w:rsidR="0096110F" w:rsidRDefault="00000000">
            <w:r>
              <w:rPr>
                <w:sz w:val="20"/>
                <w:szCs w:val="20"/>
              </w:rPr>
              <w:lastRenderedPageBreak/>
              <w:t>IV. Suggestibility Under Detention</w:t>
            </w:r>
          </w:p>
        </w:tc>
        <w:tc>
          <w:tcPr>
            <w:tcW w:w="20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1B3E23AA" w14:textId="77777777" w:rsidR="0096110F" w:rsidRDefault="00000000">
            <w:r>
              <w:rPr>
                <w:sz w:val="20"/>
                <w:szCs w:val="20"/>
              </w:rPr>
              <w:t>+80–120% baseline suggestibility elevation</w:t>
            </w:r>
          </w:p>
        </w:tc>
        <w:tc>
          <w:tcPr>
            <w:tcW w:w="200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39EAFE02" w14:textId="77777777" w:rsidR="0096110F" w:rsidRDefault="00000000">
            <w:r>
              <w:rPr>
                <w:sz w:val="20"/>
                <w:szCs w:val="20"/>
              </w:rPr>
              <w:t>Detention does not affect voluntary communication</w:t>
            </w:r>
          </w:p>
        </w:tc>
        <w:tc>
          <w:tcPr>
            <w:tcW w:w="2860" w:type="dxa"/>
            <w:tcBorders>
              <w:top w:val="single" w:sz="4" w:space="0" w:color="2C3E50"/>
              <w:left w:val="single" w:sz="4" w:space="0" w:color="2C3E50"/>
              <w:bottom w:val="single" w:sz="4" w:space="0" w:color="2C3E50"/>
              <w:right w:val="single" w:sz="4" w:space="0" w:color="2C3E50"/>
            </w:tcBorders>
            <w:shd w:val="clear" w:color="auto" w:fill="FFFFFF"/>
            <w:tcMar>
              <w:top w:w="80" w:type="dxa"/>
              <w:left w:w="120" w:type="dxa"/>
              <w:bottom w:w="80" w:type="dxa"/>
              <w:right w:w="120" w:type="dxa"/>
            </w:tcMar>
          </w:tcPr>
          <w:p w14:paraId="071F76FC" w14:textId="77777777" w:rsidR="0096110F" w:rsidRDefault="00000000">
            <w:r>
              <w:rPr>
                <w:sz w:val="20"/>
                <w:szCs w:val="20"/>
              </w:rPr>
              <w:t>REJECT null. Pre-interrogation detention systematically degrades the conditions required for voluntary statement. 'Voluntariness' is a legal fiction.</w:t>
            </w:r>
          </w:p>
        </w:tc>
      </w:tr>
      <w:tr w:rsidR="0096110F" w14:paraId="2DB3C7E0" w14:textId="77777777">
        <w:tc>
          <w:tcPr>
            <w:tcW w:w="25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tcPr>
          <w:p w14:paraId="56125686" w14:textId="77777777" w:rsidR="0096110F" w:rsidRDefault="00000000">
            <w:r>
              <w:rPr>
                <w:b/>
                <w:bCs/>
                <w:sz w:val="20"/>
                <w:szCs w:val="20"/>
              </w:rPr>
              <w:t>CONVERGENT FINDING</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tcPr>
          <w:p w14:paraId="188E2E9F" w14:textId="77777777" w:rsidR="0096110F" w:rsidRDefault="00000000">
            <w:r>
              <w:rPr>
                <w:b/>
                <w:bCs/>
                <w:sz w:val="20"/>
                <w:szCs w:val="20"/>
              </w:rPr>
              <w:t>All four pillars independently support the construction thesis</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tcPr>
          <w:p w14:paraId="219F385F" w14:textId="77777777" w:rsidR="0096110F" w:rsidRDefault="00000000">
            <w:r>
              <w:rPr>
                <w:b/>
                <w:bCs/>
                <w:sz w:val="20"/>
                <w:szCs w:val="20"/>
              </w:rPr>
              <w:t>Null: Guilt verdicts accurately reflect culpability</w:t>
            </w:r>
          </w:p>
        </w:tc>
        <w:tc>
          <w:tcPr>
            <w:tcW w:w="286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tcPr>
          <w:p w14:paraId="7442473C" w14:textId="77777777" w:rsidR="0096110F" w:rsidRDefault="00000000">
            <w:r>
              <w:rPr>
                <w:b/>
                <w:bCs/>
                <w:sz w:val="20"/>
                <w:szCs w:val="20"/>
              </w:rPr>
              <w:t>REJECTED across all methodologies. Guilt is constructed — not discovered — by the criminal justice system.</w:t>
            </w:r>
          </w:p>
        </w:tc>
      </w:tr>
    </w:tbl>
    <w:p w14:paraId="6507B89C" w14:textId="77777777" w:rsidR="0096110F" w:rsidRDefault="0096110F">
      <w:pPr>
        <w:spacing w:line="480" w:lineRule="auto"/>
      </w:pPr>
    </w:p>
    <w:p w14:paraId="74422983" w14:textId="77777777" w:rsidR="0096110F" w:rsidRDefault="00000000">
      <w:pPr>
        <w:pStyle w:val="Heading2"/>
      </w:pPr>
      <w:r>
        <w:t>5.2 Closing the Logical Space</w:t>
      </w:r>
    </w:p>
    <w:p w14:paraId="293F758F" w14:textId="77777777" w:rsidR="0096110F" w:rsidRDefault="00000000">
      <w:pPr>
        <w:spacing w:line="480" w:lineRule="auto"/>
        <w:ind w:firstLine="720"/>
        <w:jc w:val="both"/>
      </w:pPr>
      <w:r>
        <w:t>The convergence of these four independent methodologies is not merely consistent with the construction thesis; it actively forecloses the primary alternative explanations. Consider the possibilities:</w:t>
      </w:r>
    </w:p>
    <w:p w14:paraId="028DC93E" w14:textId="77777777" w:rsidR="0096110F" w:rsidRDefault="00000000">
      <w:pPr>
        <w:spacing w:line="480" w:lineRule="auto"/>
        <w:ind w:firstLine="720"/>
        <w:jc w:val="both"/>
      </w:pPr>
      <w:r>
        <w:t>If the construction thesis were false — if guilt determination were a reliable, approximately accurate process — one would expect: (a) deception detection accuracy substantially above chance; (b) memory stability under questioning; (c) low rates of false confession; (d) minimal effect of detention on statement voluntariness. The data yield the opposite on all four measures. This is not the profile of a truth-finding system with known limitations. It is the profile of a guilt-production system that maintains the rhetorical apparatus of truth-finding.</w:t>
      </w:r>
    </w:p>
    <w:p w14:paraId="146DFE48" w14:textId="77777777" w:rsidR="0096110F" w:rsidRDefault="00000000">
      <w:pPr>
        <w:spacing w:line="480" w:lineRule="auto"/>
        <w:ind w:firstLine="720"/>
        <w:jc w:val="both"/>
      </w:pPr>
      <w:r>
        <w:t>If false confessions were explained by individual pathology rather than systemic construction, one would expect their prevalence to track identified risk factors (youth, intellectual disability, mental illness) closely and to be low overall. The aggregate 12–25% rate, distributed across ordinary adult populations and not confined to vulnerable groups, rules this out as a sufficient explanation.</w:t>
      </w:r>
    </w:p>
    <w:p w14:paraId="5AC0D0D2" w14:textId="77777777" w:rsidR="0096110F" w:rsidRDefault="00000000">
      <w:pPr>
        <w:spacing w:line="480" w:lineRule="auto"/>
        <w:ind w:firstLine="720"/>
        <w:jc w:val="both"/>
      </w:pPr>
      <w:r>
        <w:lastRenderedPageBreak/>
        <w:t>If memory distortion effects were laboratory artefacts without ecological validity, one would expect reduced effect sizes in forensic populations and real-world settings. The opposite is found: the conditions of forensic settings — the high stakes, the repetitive questioning, the adversarial structure — are precisely those that amplify the misinformation effect (Loftus, 2005). The forensic setting is the ideal environment for linguistic memory construction.</w:t>
      </w:r>
    </w:p>
    <w:p w14:paraId="3217EFC4" w14:textId="77777777" w:rsidR="0096110F" w:rsidRDefault="0096110F">
      <w:pPr>
        <w:spacing w:line="480" w:lineRule="auto"/>
      </w:pPr>
    </w:p>
    <w:p w14:paraId="5B56061F" w14:textId="77777777" w:rsidR="0096110F" w:rsidRDefault="00000000">
      <w:pPr>
        <w:pStyle w:val="Heading2"/>
      </w:pPr>
      <w:r>
        <w:t>5.3 Effect Sizes in Practical Context</w:t>
      </w:r>
    </w:p>
    <w:p w14:paraId="0E35BDE3" w14:textId="77777777" w:rsidR="0096110F" w:rsidRDefault="00000000">
      <w:pPr>
        <w:spacing w:line="480" w:lineRule="auto"/>
        <w:ind w:firstLine="720"/>
        <w:jc w:val="both"/>
      </w:pPr>
      <w:r>
        <w:t>A final observation on the meaning of these numbers in practice. The individual effect sizes reported here — d = 0.72 for memory distortion, 54% deception detection accuracy, 12–25% false confession rates, 80–120% suggestibility elevation — would each, in isolation, constitute a serious challenge to the epistemic legitimacy of criminal conviction. In combination, they describe a system operating at sufficient distance from reliable truth-finding that the outcomes it produces cannot, with confidence, be attributed to the conduct of the persons it convicts.</w:t>
      </w:r>
    </w:p>
    <w:p w14:paraId="3EC27326" w14:textId="77777777" w:rsidR="0096110F" w:rsidRDefault="00000000">
      <w:pPr>
        <w:spacing w:line="480" w:lineRule="auto"/>
        <w:ind w:firstLine="720"/>
        <w:jc w:val="both"/>
      </w:pPr>
      <w:r>
        <w:t>This does not mean that all convicted persons are innocent. It means that the conviction itself — as an output of this system — cannot serve as reliable evidence of guilt. The verdict is a performative speech act, as Austin (1962) established. It constitutes a new institutional reality. But the statistical architecture through which that reality is produced reveals it to be, at a non-trivial and empirically established rate, a construction: a guilty narrative assembled around a body, regardless of what that body actually did.</w:t>
      </w:r>
    </w:p>
    <w:p w14:paraId="44C84FCC" w14:textId="77777777" w:rsidR="0096110F" w:rsidRDefault="0096110F">
      <w:pPr>
        <w:spacing w:line="480" w:lineRule="auto"/>
      </w:pPr>
    </w:p>
    <w:p w14:paraId="53AA1A87" w14:textId="77777777" w:rsidR="0096110F" w:rsidRDefault="0096110F">
      <w:pPr>
        <w:pageBreakBefore/>
      </w:pPr>
    </w:p>
    <w:p w14:paraId="3FC88994" w14:textId="77777777" w:rsidR="0096110F" w:rsidRDefault="00000000">
      <w:pPr>
        <w:pStyle w:val="Heading1"/>
      </w:pPr>
      <w:r>
        <w:t>References</w:t>
      </w:r>
    </w:p>
    <w:p w14:paraId="0B52D91F" w14:textId="77777777" w:rsidR="0096110F" w:rsidRDefault="0096110F">
      <w:pPr>
        <w:spacing w:line="480" w:lineRule="auto"/>
      </w:pPr>
    </w:p>
    <w:p w14:paraId="04603263" w14:textId="77777777" w:rsidR="0096110F" w:rsidRDefault="00000000">
      <w:pPr>
        <w:spacing w:after="240" w:line="480" w:lineRule="auto"/>
        <w:ind w:left="720" w:hanging="720"/>
        <w:jc w:val="both"/>
      </w:pPr>
      <w:r>
        <w:t>Austin, J. L. (1962). How to do things with words. Oxford University Press.</w:t>
      </w:r>
    </w:p>
    <w:p w14:paraId="7979B550" w14:textId="77777777" w:rsidR="0096110F" w:rsidRDefault="00000000">
      <w:pPr>
        <w:spacing w:after="240" w:line="480" w:lineRule="auto"/>
        <w:ind w:left="720" w:hanging="720"/>
        <w:jc w:val="both"/>
      </w:pPr>
      <w:r>
        <w:t>Bain, S. A., Baxter, J. S., &amp; Fellowes, V. (2014). Interrogative suggestibility in adolescent and adult witnesses. Legal and Criminological Psychology, 19(2), 214–227. https://doi.org/10.1111/j.2044-8333.2012.02057.x</w:t>
      </w:r>
    </w:p>
    <w:p w14:paraId="4D2DA47D" w14:textId="77777777" w:rsidR="0096110F" w:rsidRDefault="00000000">
      <w:pPr>
        <w:spacing w:after="240" w:line="480" w:lineRule="auto"/>
        <w:ind w:left="720" w:hanging="720"/>
        <w:jc w:val="both"/>
      </w:pPr>
      <w:r>
        <w:t xml:space="preserve">Belli, R. F. (1989). Influences of misleading </w:t>
      </w:r>
      <w:proofErr w:type="spellStart"/>
      <w:r>
        <w:t>postevent</w:t>
      </w:r>
      <w:proofErr w:type="spellEnd"/>
      <w:r>
        <w:t xml:space="preserve"> information: Misinformation interference and acceptance. Journal of Experimental Psychology: General, 118(1), 72–85. https://doi.org/10.1037/0096-3445.118.1.72</w:t>
      </w:r>
    </w:p>
    <w:p w14:paraId="6B0C34F0" w14:textId="77777777" w:rsidR="0096110F" w:rsidRDefault="00000000">
      <w:pPr>
        <w:spacing w:after="240" w:line="480" w:lineRule="auto"/>
        <w:ind w:left="720" w:hanging="720"/>
        <w:jc w:val="both"/>
      </w:pPr>
      <w:r>
        <w:t>Bond, C. F., Jr., &amp; DePaulo, B. M. (2006). Accuracy of deception judgments. Personality and Social Psychology Review, 10(3), 214–234. https://doi.org/10.1207/s15327957pspr1003_2</w:t>
      </w:r>
    </w:p>
    <w:p w14:paraId="4E57B9BF" w14:textId="77777777" w:rsidR="0096110F" w:rsidRDefault="00000000">
      <w:pPr>
        <w:spacing w:after="240" w:line="480" w:lineRule="auto"/>
        <w:ind w:left="720" w:hanging="720"/>
        <w:jc w:val="both"/>
      </w:pPr>
      <w:r>
        <w:t>Brandon, S. (2020). False confessions and wrongful convictions: An analysis of CCRC referrals. Criminal Cases Review Commission Research Series.</w:t>
      </w:r>
    </w:p>
    <w:p w14:paraId="167DB712" w14:textId="77777777" w:rsidR="0096110F" w:rsidRDefault="00000000">
      <w:pPr>
        <w:spacing w:after="240" w:line="480" w:lineRule="auto"/>
        <w:ind w:left="720" w:hanging="720"/>
        <w:jc w:val="both"/>
      </w:pPr>
      <w:r>
        <w:t xml:space="preserve">Cohen, J. (1988). Statistical power analysis for the </w:t>
      </w:r>
      <w:proofErr w:type="spellStart"/>
      <w:r>
        <w:t>behavioral</w:t>
      </w:r>
      <w:proofErr w:type="spellEnd"/>
      <w:r>
        <w:t xml:space="preserve"> sciences (2nd ed.). Erlbaum.</w:t>
      </w:r>
    </w:p>
    <w:p w14:paraId="6FE4E97B" w14:textId="77777777" w:rsidR="0096110F" w:rsidRDefault="00000000">
      <w:pPr>
        <w:spacing w:after="240" w:line="480" w:lineRule="auto"/>
        <w:ind w:left="720" w:hanging="720"/>
        <w:jc w:val="both"/>
      </w:pPr>
      <w:r>
        <w:t>Ekman, P., &amp; O'Sullivan, M. (1991). Who can catch a liar? American Psychologist, 46(9), 913–920. https://doi.org/10.1037/0003-066X.46.9.913</w:t>
      </w:r>
    </w:p>
    <w:p w14:paraId="3BDDF983" w14:textId="77777777" w:rsidR="0096110F" w:rsidRDefault="00000000">
      <w:pPr>
        <w:spacing w:after="240" w:line="480" w:lineRule="auto"/>
        <w:ind w:left="720" w:hanging="720"/>
        <w:jc w:val="both"/>
      </w:pPr>
      <w:r>
        <w:lastRenderedPageBreak/>
        <w:t>Garrett, B. L. (2011). Convicting the innocent: Where criminal prosecutions go wrong. Harvard University Press.</w:t>
      </w:r>
    </w:p>
    <w:p w14:paraId="4DB9EABC" w14:textId="77777777" w:rsidR="0096110F" w:rsidRDefault="00000000">
      <w:pPr>
        <w:spacing w:after="240" w:line="480" w:lineRule="auto"/>
        <w:ind w:left="720" w:hanging="720"/>
        <w:jc w:val="both"/>
      </w:pPr>
      <w:r>
        <w:t>Gross, S. R., Jacoby, K., Matheson, D. J., Montgomery, N., &amp; Patil, S. (2005). Exonerations in the United States 1989 through 2003. Journal of Criminal Law and Criminology, 95(2), 523–560. https://doi.org/10.2307/3491422</w:t>
      </w:r>
    </w:p>
    <w:p w14:paraId="706F0775" w14:textId="77777777" w:rsidR="0096110F" w:rsidRDefault="00000000">
      <w:pPr>
        <w:spacing w:after="240" w:line="480" w:lineRule="auto"/>
        <w:ind w:left="720" w:hanging="720"/>
        <w:jc w:val="both"/>
      </w:pPr>
      <w:r>
        <w:t>Gudjonsson, G. H. (2003). The psychology of interrogations and confessions: A handbook. Wiley.</w:t>
      </w:r>
    </w:p>
    <w:p w14:paraId="6E7E198C" w14:textId="77777777" w:rsidR="0096110F" w:rsidRDefault="00000000">
      <w:pPr>
        <w:spacing w:after="240" w:line="480" w:lineRule="auto"/>
        <w:ind w:left="720" w:hanging="720"/>
        <w:jc w:val="both"/>
      </w:pPr>
      <w:r>
        <w:t>Gudjonsson, G. H., &amp; Clark, N. K. (1986). Suggestibility in police interrogation: A social psychological model. Social Behaviour, 1(2), 83–104.</w:t>
      </w:r>
    </w:p>
    <w:p w14:paraId="76A70E69" w14:textId="77777777" w:rsidR="0096110F" w:rsidRDefault="00000000">
      <w:pPr>
        <w:spacing w:after="240" w:line="480" w:lineRule="auto"/>
        <w:ind w:left="720" w:hanging="720"/>
        <w:jc w:val="both"/>
      </w:pPr>
      <w:r>
        <w:t>Harrison, Y., &amp; Horne, J. A. (2000). The impact of sleep deprivation on decision making: A review. Journal of Experimental Psychology: Applied, 6(3), 236–249. https://doi.org/10.1037/1076-898X.6.3.236</w:t>
      </w:r>
    </w:p>
    <w:p w14:paraId="01E0CA69" w14:textId="77777777" w:rsidR="0096110F" w:rsidRDefault="00000000">
      <w:pPr>
        <w:spacing w:after="240" w:line="480" w:lineRule="auto"/>
        <w:ind w:left="720" w:hanging="720"/>
        <w:jc w:val="both"/>
      </w:pPr>
      <w:r>
        <w:t>Hartwig, M., &amp; Bond, C. F., Jr. (2011). Why do lie-catchers fail? A lens model meta-analysis of human lie judgments. Psychological Bulletin, 137(4), 643–659. https://doi.org/10.1037/a0023589</w:t>
      </w:r>
    </w:p>
    <w:p w14:paraId="27C1BFCA" w14:textId="77777777" w:rsidR="0096110F" w:rsidRDefault="00000000">
      <w:pPr>
        <w:spacing w:after="240" w:line="480" w:lineRule="auto"/>
        <w:ind w:left="720" w:hanging="720"/>
        <w:jc w:val="both"/>
      </w:pPr>
      <w:r>
        <w:t>Hyman, I. E., Jr., Husband, T. H., &amp; Billings, F. J. (1995). False memories of childhood experiences. Applied Cognitive Psychology, 9(3), 181–197. https://doi.org/10.1002/acp.2350090302</w:t>
      </w:r>
    </w:p>
    <w:p w14:paraId="4EE77137" w14:textId="77777777" w:rsidR="0096110F" w:rsidRDefault="00000000">
      <w:pPr>
        <w:spacing w:after="240" w:line="480" w:lineRule="auto"/>
        <w:ind w:left="720" w:hanging="720"/>
        <w:jc w:val="both"/>
      </w:pPr>
      <w:r>
        <w:t>Kassin, S. M., &amp; Gudjonsson, G. H. (2004). The psychology of confessions: A review of the literature and issues. Psychological Science in the Public Interest, 5(2), 33–67. https://doi.org/10.1111/j.1529-1006.2004.00016.x</w:t>
      </w:r>
    </w:p>
    <w:p w14:paraId="1FEF2ABE" w14:textId="77777777" w:rsidR="0096110F" w:rsidRDefault="00000000">
      <w:pPr>
        <w:spacing w:after="240" w:line="480" w:lineRule="auto"/>
        <w:ind w:left="720" w:hanging="720"/>
        <w:jc w:val="both"/>
      </w:pPr>
      <w:r>
        <w:lastRenderedPageBreak/>
        <w:t xml:space="preserve">Kassin, S. M., &amp; McNall, K. (1991). Police interrogations and confessions: Communicating promises and threats by pragmatic implication. Law and Human </w:t>
      </w:r>
      <w:proofErr w:type="spellStart"/>
      <w:r>
        <w:t>Behavior</w:t>
      </w:r>
      <w:proofErr w:type="spellEnd"/>
      <w:r>
        <w:t>, 15(3), 233–251. https://doi.org/10.1007/BF01061711</w:t>
      </w:r>
    </w:p>
    <w:p w14:paraId="354773BF" w14:textId="77777777" w:rsidR="0096110F" w:rsidRDefault="00000000">
      <w:pPr>
        <w:spacing w:after="240" w:line="480" w:lineRule="auto"/>
        <w:ind w:left="720" w:hanging="720"/>
        <w:jc w:val="both"/>
      </w:pPr>
      <w:r>
        <w:t xml:space="preserve">Kassin, S. M., Meissner, C. A., &amp; </w:t>
      </w:r>
      <w:proofErr w:type="spellStart"/>
      <w:r>
        <w:t>Norwick</w:t>
      </w:r>
      <w:proofErr w:type="spellEnd"/>
      <w:r>
        <w:t xml:space="preserve">, R. J. (2005). 'I'd know a false confession if I saw one': A comparative study of college students and police investigators. Law and Human </w:t>
      </w:r>
      <w:proofErr w:type="spellStart"/>
      <w:r>
        <w:t>Behavior</w:t>
      </w:r>
      <w:proofErr w:type="spellEnd"/>
      <w:r>
        <w:t>, 29(2), 211–227. https://doi.org/10.1007/s10979-005-2416-9</w:t>
      </w:r>
    </w:p>
    <w:p w14:paraId="11302D1F" w14:textId="77777777" w:rsidR="0096110F" w:rsidRDefault="00000000">
      <w:pPr>
        <w:spacing w:after="240" w:line="480" w:lineRule="auto"/>
        <w:ind w:left="720" w:hanging="720"/>
        <w:jc w:val="both"/>
      </w:pPr>
      <w:r>
        <w:t xml:space="preserve">Kassin, S. M., Drizin, S. A., Grisso, T., Gudjonsson, G. H., Leo, R. A., &amp; Redlich, A. D. (2010). Police-induced confessions: Risk factors and recommendations. Law and Human </w:t>
      </w:r>
      <w:proofErr w:type="spellStart"/>
      <w:r>
        <w:t>Behavior</w:t>
      </w:r>
      <w:proofErr w:type="spellEnd"/>
      <w:r>
        <w:t>, 34(1), 3–38. https://doi.org/10.1007/s10979-009-9188-6</w:t>
      </w:r>
    </w:p>
    <w:p w14:paraId="003FC3B9" w14:textId="77777777" w:rsidR="0096110F" w:rsidRDefault="00000000">
      <w:pPr>
        <w:spacing w:after="240" w:line="480" w:lineRule="auto"/>
        <w:ind w:left="720" w:hanging="720"/>
        <w:jc w:val="both"/>
      </w:pPr>
      <w:r>
        <w:t xml:space="preserve">Kassin, S. M. (2017). False confessions: How innocent people confess to crimes they did not commit, what happens when they do, and how to reduce this risk in the future. Policy Insights from the </w:t>
      </w:r>
      <w:proofErr w:type="spellStart"/>
      <w:r>
        <w:t>Behavioral</w:t>
      </w:r>
      <w:proofErr w:type="spellEnd"/>
      <w:r>
        <w:t xml:space="preserve"> and Brain Sciences, 4(1), 119–125. https://doi.org/10.1177/2372732216683098</w:t>
      </w:r>
    </w:p>
    <w:p w14:paraId="2944524C" w14:textId="77777777" w:rsidR="0096110F" w:rsidRDefault="00000000">
      <w:pPr>
        <w:spacing w:after="240" w:line="480" w:lineRule="auto"/>
        <w:ind w:left="720" w:hanging="720"/>
        <w:jc w:val="both"/>
      </w:pPr>
      <w:r>
        <w:t xml:space="preserve">Leo, R. A., &amp; </w:t>
      </w:r>
      <w:proofErr w:type="spellStart"/>
      <w:r>
        <w:t>Ofshe</w:t>
      </w:r>
      <w:proofErr w:type="spellEnd"/>
      <w:r>
        <w:t>, R. J. (1998). The consequences of false confessions: Deprivations of liberty and miscarriages of justice in the age of psychological interrogation. Journal of Criminal Law and Criminology, 88(2), 429–496. https://doi.org/10.2307/1144288</w:t>
      </w:r>
    </w:p>
    <w:p w14:paraId="3D15E908" w14:textId="77777777" w:rsidR="0096110F" w:rsidRDefault="00000000">
      <w:pPr>
        <w:spacing w:after="240" w:line="480" w:lineRule="auto"/>
        <w:ind w:left="720" w:hanging="720"/>
        <w:jc w:val="both"/>
      </w:pPr>
      <w:r>
        <w:t>Leo, R. A. (2008). Police interrogation and American justice. Harvard University Press.</w:t>
      </w:r>
    </w:p>
    <w:p w14:paraId="0C999B58" w14:textId="77777777" w:rsidR="0096110F" w:rsidRDefault="00000000">
      <w:pPr>
        <w:spacing w:after="240" w:line="480" w:lineRule="auto"/>
        <w:ind w:left="720" w:hanging="720"/>
        <w:jc w:val="both"/>
      </w:pPr>
      <w:r>
        <w:t xml:space="preserve">Loftus, E. F., &amp; Palmer, J. C. (1974). Reconstruction of automobile destruction: An example of the interaction between language and memory. Journal of Verbal Learning and Verbal </w:t>
      </w:r>
      <w:proofErr w:type="spellStart"/>
      <w:r>
        <w:t>Behavior</w:t>
      </w:r>
      <w:proofErr w:type="spellEnd"/>
      <w:r>
        <w:t>, 13(5), 585–589. https://doi.org/10.1016/S0022-5371(74)80011-3</w:t>
      </w:r>
    </w:p>
    <w:p w14:paraId="7BE944B9" w14:textId="77777777" w:rsidR="0096110F" w:rsidRDefault="00000000">
      <w:pPr>
        <w:spacing w:after="240" w:line="480" w:lineRule="auto"/>
        <w:ind w:left="720" w:hanging="720"/>
        <w:jc w:val="both"/>
      </w:pPr>
      <w:r>
        <w:lastRenderedPageBreak/>
        <w:t>Loftus, E. F., Miller, D. G., &amp; Burns, H. J. (1978). Semantic integration of verbal information into a visual memory. Journal of Experimental Psychology: Human Learning and Memory, 4(1), 19–31. https://doi.org/10.1037/0278-7393.4.1.19</w:t>
      </w:r>
    </w:p>
    <w:p w14:paraId="3EFE7188" w14:textId="77777777" w:rsidR="0096110F" w:rsidRDefault="00000000">
      <w:pPr>
        <w:spacing w:after="240" w:line="480" w:lineRule="auto"/>
        <w:ind w:left="720" w:hanging="720"/>
        <w:jc w:val="both"/>
      </w:pPr>
      <w:r>
        <w:t>Loftus, E. F. (1993). The reality of repressed memories. American Psychologist, 48(5), 518–537. https://doi.org/10.1037/0003-066X.48.5.518</w:t>
      </w:r>
    </w:p>
    <w:p w14:paraId="42563FB4" w14:textId="77777777" w:rsidR="0096110F" w:rsidRDefault="00000000">
      <w:pPr>
        <w:spacing w:after="240" w:line="480" w:lineRule="auto"/>
        <w:ind w:left="720" w:hanging="720"/>
        <w:jc w:val="both"/>
      </w:pPr>
      <w:r>
        <w:t>Loftus, E. F. (2005). Planting misinformation in the human mind: A 30-year investigation of the malleability of memory. Learning and Memory, 12(4), 361–366. https://doi.org/10.1101/lm.94705</w:t>
      </w:r>
    </w:p>
    <w:p w14:paraId="01D6B94E" w14:textId="77777777" w:rsidR="0096110F" w:rsidRDefault="00000000">
      <w:pPr>
        <w:spacing w:after="240" w:line="480" w:lineRule="auto"/>
        <w:ind w:left="720" w:hanging="720"/>
        <w:jc w:val="both"/>
      </w:pPr>
      <w:r>
        <w:t xml:space="preserve">McCloskey, M., &amp; Zaragoza, M. (1985). Misleading </w:t>
      </w:r>
      <w:proofErr w:type="spellStart"/>
      <w:r>
        <w:t>postevent</w:t>
      </w:r>
      <w:proofErr w:type="spellEnd"/>
      <w:r>
        <w:t xml:space="preserve"> information and memory for events: Arguments and evidence against memory impairment hypotheses. Journal of Experimental Psychology: General, 114(1), 1–16. https://doi.org/10.1037/0096-3445.114.1.1</w:t>
      </w:r>
    </w:p>
    <w:p w14:paraId="258FA1CE" w14:textId="77777777" w:rsidR="0096110F" w:rsidRDefault="00000000">
      <w:pPr>
        <w:spacing w:after="240" w:line="480" w:lineRule="auto"/>
        <w:ind w:left="720" w:hanging="720"/>
        <w:jc w:val="both"/>
      </w:pPr>
      <w:r>
        <w:t xml:space="preserve">Meissner, C. A., &amp; Kassin, S. M. (2002). 'He's guilty!': Investigator bias in judgments of truth and deception. Law and Human </w:t>
      </w:r>
      <w:proofErr w:type="spellStart"/>
      <w:r>
        <w:t>Behavior</w:t>
      </w:r>
      <w:proofErr w:type="spellEnd"/>
      <w:r>
        <w:t>, 26(5), 469–480. https://doi.org/10.1023/A:1020278620751</w:t>
      </w:r>
    </w:p>
    <w:p w14:paraId="123F25B8" w14:textId="77777777" w:rsidR="0096110F" w:rsidRDefault="00000000">
      <w:pPr>
        <w:spacing w:after="240" w:line="480" w:lineRule="auto"/>
        <w:ind w:left="720" w:hanging="720"/>
        <w:jc w:val="both"/>
      </w:pPr>
      <w:r>
        <w:t>National Registry of Exonerations. (2023). Annual report. University of Michigan Law School.</w:t>
      </w:r>
    </w:p>
    <w:p w14:paraId="1B96D212" w14:textId="77777777" w:rsidR="0096110F" w:rsidRDefault="00000000">
      <w:pPr>
        <w:spacing w:after="240" w:line="480" w:lineRule="auto"/>
        <w:ind w:left="720" w:hanging="720"/>
        <w:jc w:val="both"/>
      </w:pPr>
      <w:r>
        <w:t>Starcke, K., &amp; Brand, M. (2012). Decision making under stress: A selective review. Neuroscience and Biobehavioral Reviews, 36(4), 1228–1248. https://doi.org/10.1016/j.neubiorev.2012.02.003</w:t>
      </w:r>
    </w:p>
    <w:p w14:paraId="0405C84C" w14:textId="77777777" w:rsidR="0096110F" w:rsidRDefault="00000000">
      <w:pPr>
        <w:spacing w:after="240" w:line="480" w:lineRule="auto"/>
        <w:ind w:left="720" w:hanging="720"/>
        <w:jc w:val="both"/>
      </w:pPr>
      <w:r>
        <w:t>Vrij, A. (2008). Detecting lies and deceit: Pitfalls and opportunities (2nd ed.). Wiley.</w:t>
      </w:r>
    </w:p>
    <w:p w14:paraId="6CE1B139" w14:textId="77777777" w:rsidR="0096110F" w:rsidRDefault="00000000">
      <w:pPr>
        <w:spacing w:after="240" w:line="480" w:lineRule="auto"/>
        <w:ind w:left="720" w:hanging="720"/>
        <w:jc w:val="both"/>
      </w:pPr>
      <w:r>
        <w:lastRenderedPageBreak/>
        <w:t>Vrij, A., &amp; Graham, S. (1997). Individual differences between liars and the ability to detect lies. Expert Evidence, 5(4), 144–148. https://doi.org/10.1023/A:1008835204763</w:t>
      </w:r>
    </w:p>
    <w:p w14:paraId="2958B897" w14:textId="77777777" w:rsidR="0096110F" w:rsidRDefault="00000000">
      <w:pPr>
        <w:spacing w:after="240" w:line="480" w:lineRule="auto"/>
        <w:ind w:left="720" w:hanging="720"/>
        <w:jc w:val="both"/>
      </w:pPr>
      <w:r>
        <w:t xml:space="preserve">Vrij, A., Mann, S., &amp; Fisher, R. (2006). An empirical test of the behaviour analysis interview. Law and Human </w:t>
      </w:r>
      <w:proofErr w:type="spellStart"/>
      <w:r>
        <w:t>Behavior</w:t>
      </w:r>
      <w:proofErr w:type="spellEnd"/>
      <w:r>
        <w:t>, 30(3), 329–345. https://doi.org/10.1007/s10979-006-9014-3</w:t>
      </w:r>
    </w:p>
    <w:p w14:paraId="4BAE4D73" w14:textId="77777777" w:rsidR="0096110F" w:rsidRDefault="0096110F">
      <w:pPr>
        <w:spacing w:line="480" w:lineRule="auto"/>
      </w:pPr>
    </w:p>
    <w:p w14:paraId="78DE1163" w14:textId="77777777" w:rsidR="0096110F" w:rsidRDefault="0096110F">
      <w:pPr>
        <w:spacing w:line="480" w:lineRule="auto"/>
      </w:pPr>
    </w:p>
    <w:p w14:paraId="7A4DF048" w14:textId="77777777" w:rsidR="0096110F" w:rsidRDefault="00000000">
      <w:pPr>
        <w:spacing w:line="480" w:lineRule="auto"/>
        <w:jc w:val="center"/>
      </w:pPr>
      <w:r>
        <w:rPr>
          <w:color w:val="2C3E50"/>
        </w:rPr>
        <w:t>─────────────────────────────────────────</w:t>
      </w:r>
    </w:p>
    <w:p w14:paraId="1B07FAF6" w14:textId="77777777" w:rsidR="0096110F" w:rsidRDefault="0096110F">
      <w:pPr>
        <w:spacing w:line="480" w:lineRule="auto"/>
      </w:pPr>
    </w:p>
    <w:p w14:paraId="1C336C23" w14:textId="77777777" w:rsidR="0096110F" w:rsidRDefault="00000000">
      <w:pPr>
        <w:spacing w:line="480" w:lineRule="auto"/>
        <w:jc w:val="center"/>
      </w:pPr>
      <w:r>
        <w:rPr>
          <w:i/>
          <w:iCs/>
          <w:color w:val="666666"/>
        </w:rPr>
        <w:t>End of Statistical Appendix</w:t>
      </w:r>
    </w:p>
    <w:sectPr w:rsidR="0096110F">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7A86" w14:textId="77777777" w:rsidR="006475A7" w:rsidRDefault="006475A7">
      <w:r>
        <w:separator/>
      </w:r>
    </w:p>
  </w:endnote>
  <w:endnote w:type="continuationSeparator" w:id="0">
    <w:p w14:paraId="60EBA6C9" w14:textId="77777777" w:rsidR="006475A7" w:rsidRDefault="0064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15B" w14:textId="77777777" w:rsidR="0096110F" w:rsidRDefault="00000000">
    <w:pPr>
      <w:pBdr>
        <w:top w:val="single" w:sz="4" w:space="4" w:color="2C3E50"/>
      </w:pBdr>
      <w:jc w:val="right"/>
    </w:pPr>
    <w:r>
      <w:rPr>
        <w:sz w:val="20"/>
        <w:szCs w:val="20"/>
      </w:rPr>
      <w:fldChar w:fldCharType="begin"/>
    </w:r>
    <w:r>
      <w:rPr>
        <w:sz w:val="20"/>
        <w:szCs w:val="20"/>
      </w:rPr>
      <w:instrText>PAGE</w:instrText>
    </w:r>
    <w:r>
      <w:rPr>
        <w:sz w:val="20"/>
        <w:szCs w:val="20"/>
      </w:rPr>
      <w:fldChar w:fldCharType="separate"/>
    </w:r>
    <w:r w:rsidR="00AF71F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E7A6" w14:textId="77777777" w:rsidR="006475A7" w:rsidRDefault="006475A7">
      <w:r>
        <w:separator/>
      </w:r>
    </w:p>
  </w:footnote>
  <w:footnote w:type="continuationSeparator" w:id="0">
    <w:p w14:paraId="662E3B7D" w14:textId="77777777" w:rsidR="006475A7" w:rsidRDefault="0064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A71E" w14:textId="77777777" w:rsidR="0096110F" w:rsidRDefault="00000000">
    <w:pPr>
      <w:pBdr>
        <w:bottom w:val="single" w:sz="4" w:space="4" w:color="2C3E50"/>
      </w:pBdr>
    </w:pPr>
    <w:r>
      <w:rPr>
        <w:caps/>
        <w:color w:val="666666"/>
        <w:sz w:val="18"/>
        <w:szCs w:val="18"/>
      </w:rPr>
      <w:t>CONSTRUCTED GUILT — STATISTICAL 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F3F80"/>
    <w:multiLevelType w:val="hybridMultilevel"/>
    <w:tmpl w:val="BEB4B300"/>
    <w:lvl w:ilvl="0" w:tplc="878A4B2E">
      <w:start w:val="1"/>
      <w:numFmt w:val="bullet"/>
      <w:lvlText w:val="●"/>
      <w:lvlJc w:val="left"/>
      <w:pPr>
        <w:ind w:left="720" w:hanging="360"/>
      </w:pPr>
    </w:lvl>
    <w:lvl w:ilvl="1" w:tplc="9432D336">
      <w:start w:val="1"/>
      <w:numFmt w:val="bullet"/>
      <w:lvlText w:val="○"/>
      <w:lvlJc w:val="left"/>
      <w:pPr>
        <w:ind w:left="1440" w:hanging="360"/>
      </w:pPr>
    </w:lvl>
    <w:lvl w:ilvl="2" w:tplc="6442A142">
      <w:start w:val="1"/>
      <w:numFmt w:val="bullet"/>
      <w:lvlText w:val="■"/>
      <w:lvlJc w:val="left"/>
      <w:pPr>
        <w:ind w:left="2160" w:hanging="360"/>
      </w:pPr>
    </w:lvl>
    <w:lvl w:ilvl="3" w:tplc="04801484">
      <w:start w:val="1"/>
      <w:numFmt w:val="bullet"/>
      <w:lvlText w:val="●"/>
      <w:lvlJc w:val="left"/>
      <w:pPr>
        <w:ind w:left="2880" w:hanging="360"/>
      </w:pPr>
    </w:lvl>
    <w:lvl w:ilvl="4" w:tplc="79A4117A">
      <w:start w:val="1"/>
      <w:numFmt w:val="bullet"/>
      <w:lvlText w:val="○"/>
      <w:lvlJc w:val="left"/>
      <w:pPr>
        <w:ind w:left="3600" w:hanging="360"/>
      </w:pPr>
    </w:lvl>
    <w:lvl w:ilvl="5" w:tplc="EF30A472">
      <w:start w:val="1"/>
      <w:numFmt w:val="bullet"/>
      <w:lvlText w:val="■"/>
      <w:lvlJc w:val="left"/>
      <w:pPr>
        <w:ind w:left="4320" w:hanging="360"/>
      </w:pPr>
    </w:lvl>
    <w:lvl w:ilvl="6" w:tplc="1E94780C">
      <w:start w:val="1"/>
      <w:numFmt w:val="bullet"/>
      <w:lvlText w:val="●"/>
      <w:lvlJc w:val="left"/>
      <w:pPr>
        <w:ind w:left="5040" w:hanging="360"/>
      </w:pPr>
    </w:lvl>
    <w:lvl w:ilvl="7" w:tplc="DAE28D92">
      <w:start w:val="1"/>
      <w:numFmt w:val="bullet"/>
      <w:lvlText w:val="●"/>
      <w:lvlJc w:val="left"/>
      <w:pPr>
        <w:ind w:left="5760" w:hanging="360"/>
      </w:pPr>
    </w:lvl>
    <w:lvl w:ilvl="8" w:tplc="85D6FD8A">
      <w:start w:val="1"/>
      <w:numFmt w:val="bullet"/>
      <w:lvlText w:val="●"/>
      <w:lvlJc w:val="left"/>
      <w:pPr>
        <w:ind w:left="6480" w:hanging="360"/>
      </w:pPr>
    </w:lvl>
  </w:abstractNum>
  <w:num w:numId="1" w16cid:durableId="679549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10F"/>
    <w:rsid w:val="000F57DA"/>
    <w:rsid w:val="004326BB"/>
    <w:rsid w:val="006475A7"/>
    <w:rsid w:val="00726AD8"/>
    <w:rsid w:val="0096110F"/>
    <w:rsid w:val="009B2F73"/>
    <w:rsid w:val="00AF7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253607C"/>
  <w15:docId w15:val="{C837DEA4-33AA-1241-A2B2-0674B70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line="480" w:lineRule="auto"/>
      <w:jc w:val="center"/>
      <w:outlineLvl w:val="0"/>
    </w:pPr>
    <w:rPr>
      <w:b/>
      <w:bCs/>
      <w:sz w:val="28"/>
      <w:szCs w:val="28"/>
    </w:rPr>
  </w:style>
  <w:style w:type="paragraph" w:styleId="Heading2">
    <w:name w:val="heading 2"/>
    <w:uiPriority w:val="9"/>
    <w:unhideWhenUsed/>
    <w:qFormat/>
    <w:pPr>
      <w:spacing w:before="480" w:after="240" w:line="480" w:lineRule="auto"/>
      <w:outlineLvl w:val="1"/>
    </w:pPr>
    <w:rPr>
      <w:b/>
      <w:bCs/>
    </w:rPr>
  </w:style>
  <w:style w:type="paragraph" w:styleId="Heading3">
    <w:name w:val="heading 3"/>
    <w:uiPriority w:val="9"/>
    <w:semiHidden/>
    <w:unhideWhenUsed/>
    <w:qFormat/>
    <w:pPr>
      <w:spacing w:before="240" w:after="120" w:line="480" w:lineRule="auto"/>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4199</Words>
  <Characters>23938</Characters>
  <Application>Microsoft Office Word</Application>
  <DocSecurity>0</DocSecurity>
  <Lines>199</Lines>
  <Paragraphs>56</Paragraphs>
  <ScaleCrop>false</ScaleCrop>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rohan brown</cp:lastModifiedBy>
  <cp:revision>2</cp:revision>
  <dcterms:created xsi:type="dcterms:W3CDTF">2026-03-30T05:59:00Z</dcterms:created>
  <dcterms:modified xsi:type="dcterms:W3CDTF">2026-03-30T05:59:00Z</dcterms:modified>
</cp:coreProperties>
</file>